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0301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Supplementary Information (SI)</w:t>
      </w:r>
    </w:p>
    <w:p w14:paraId="6C4726F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F6AABD9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S1. Calculation of Removal Efficiency and Adsorption Capacity</w:t>
      </w:r>
    </w:p>
    <w:p w14:paraId="7705724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dye removal efficiency (R, %) and the equilibrium adsorption capacity (q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mg/g) were determined using Eq. (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37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) and Eq. (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43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), respectively:</w:t>
      </w:r>
    </w:p>
    <w:p w14:paraId="4953CC20">
      <w:pPr>
        <w:spacing w:line="360" w:lineRule="auto"/>
        <w:jc w:val="right"/>
        <w:rPr>
          <w:rFonts w:hint="default" w:ascii="Times New Roman" w:hAnsi="Times New Roman" w:eastAsia="宋体" w:cs="Times New Roman"/>
          <w:w w:val="105"/>
          <w:position w:val="-12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  <w:lang w:val="en-US" w:eastAsia="zh-CN"/>
        </w:rPr>
        <w:t xml:space="preserve">                 </w:t>
      </w: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R=(1-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0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)×100%</m:t>
        </m:r>
      </m:oMath>
      <w:r>
        <w:rPr>
          <w:rFonts w:hint="default" w:ascii="Times New Roman" w:hAnsi="Times New Roman" w:eastAsia="宋体" w:cs="Times New Roman"/>
          <w:iCs/>
          <w:w w:val="105"/>
          <w:position w:val="-12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w w:val="105"/>
          <w:position w:val="-12"/>
          <w:sz w:val="24"/>
          <w:szCs w:val="24"/>
        </w:rPr>
        <w:t xml:space="preserve">        </w:t>
      </w:r>
      <w:r>
        <w:rPr>
          <w:rFonts w:hint="default" w:ascii="Times New Roman" w:hAnsi="Times New Roman" w:eastAsia="宋体" w:cs="Times New Roman"/>
          <w:w w:val="105"/>
          <w:position w:val="-12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w w:val="105"/>
          <w:position w:val="-12"/>
          <w:sz w:val="24"/>
          <w:szCs w:val="24"/>
        </w:rPr>
        <w:t xml:space="preserve">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1）</w:t>
      </w:r>
    </w:p>
    <w:p w14:paraId="6E5183D6">
      <w:pPr>
        <w:widowControl/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</w:t>
      </w: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q</m:t>
        </m:r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  <w:vertAlign w:val="subscript"/>
            <w:lang w:val="en-US" w:eastAsia="zh-CN"/>
          </w:rPr>
          <m:t>e</m:t>
        </m:r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</m:t>
        </m:r>
        <m:f>
          <m:fP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V(</m:t>
            </m:r>
            <m:sSub>
              <m:sSubP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0</m:t>
                </m: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sub>
            </m:s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-</m:t>
            </m:r>
            <m:sSub>
              <m:sSubP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</m:ctrlPr>
              </m:sub>
            </m:s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)</m:t>
            </m: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m</m:t>
            </m: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den>
        </m:f>
      </m:oMath>
      <w:bookmarkStart w:id="0" w:name="OLE_LINK2"/>
      <w:r>
        <w:rPr>
          <w:rFonts w:hint="default" w:ascii="Times New Roman" w:hAnsi="Times New Roman" w:eastAsia="宋体" w:cs="Times New Roman"/>
          <w:sz w:val="24"/>
          <w:szCs w:val="24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2）</w:t>
      </w:r>
      <w:bookmarkEnd w:id="0"/>
    </w:p>
    <w:p w14:paraId="306A054A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C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and C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e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represent the initial and equilibrium mass concentrations of the target dyes (mg/L), respectively; V is the volume of the dye solution (L); and m denotes the dry mass of the GO/CS hydrogel dosage (g).</w:t>
      </w:r>
    </w:p>
    <w:p w14:paraId="1B00448F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5DB3C5EE">
      <w:pPr>
        <w:widowControl/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S2. Adsorption Isotherm Models</w:t>
      </w:r>
    </w:p>
    <w:p w14:paraId="6A9D9462">
      <w:pPr>
        <w:widowControl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To evaluate the intermolecular interactions at the solid-liquid interface and elucidate the energetic heterogeneity of the adsorbent surface, four classic isotherm models—namely Langmuir, Freundlich, Temkin, and Dubinin-Radushkevich (D-R)—were employed to fit the experimental data [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43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]. Their respective equations are expressed as follows:</w:t>
      </w:r>
    </w:p>
    <w:p w14:paraId="4F033F0A">
      <w:pPr>
        <w:widowControl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Langmuir Model:</w:t>
      </w:r>
    </w:p>
    <w:p w14:paraId="7D7E7C01">
      <w:pPr>
        <w:widowControl/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f>
          <m:fP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32"/>
                <w:szCs w:val="32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q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32"/>
            <w:szCs w:val="32"/>
          </w:rPr>
          <m:t>=</m:t>
        </m:r>
        <m:f>
          <m:fP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32"/>
                <w:szCs w:val="32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q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max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32"/>
            <w:szCs w:val="32"/>
          </w:rPr>
          <m:t>+</m:t>
        </m:r>
        <m:f>
          <m:fP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32"/>
                <w:szCs w:val="32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32"/>
            <w:szCs w:val="32"/>
          </w:rPr>
          <m:t>(</m:t>
        </m:r>
        <m:f>
          <m:fP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32"/>
                <w:szCs w:val="32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q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max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ub>
            </m:sSub>
            <m:sSub>
              <m:sSubP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K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32"/>
                    <w:szCs w:val="32"/>
                  </w:rPr>
                  <m:t>L</m:t>
                </m:r>
                <m:ctrlPr>
                  <w:rPr>
                    <w:rFonts w:hint="default" w:ascii="Cambria Math" w:hAnsi="Cambria Math" w:eastAsia="宋体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sz w:val="32"/>
                <w:szCs w:val="32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32"/>
            <w:szCs w:val="32"/>
          </w:rPr>
          <m:t>)</m:t>
        </m:r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3）</w:t>
      </w:r>
    </w:p>
    <w:p w14:paraId="0F087E62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q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e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equilibrium adsorption capacity (mg/g); q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max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theoretical maximum monolayer adsorption capacity (mg/g); C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e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equilibrium mass concentration of the dye (mg/L); and 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L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Langmuir adsorption constant (L/mg).</w:t>
      </w:r>
    </w:p>
    <w:p w14:paraId="079A1FFF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Freundlich Model:</w:t>
      </w:r>
    </w:p>
    <w:p w14:paraId="676015E3">
      <w:pPr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  <w:lang w:val="en-US" w:eastAsia="zh-CN"/>
        </w:rPr>
        <w:t xml:space="preserve"> </w:t>
      </w: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K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F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+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n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C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4）</w:t>
      </w:r>
    </w:p>
    <w:p w14:paraId="17BF1D31">
      <w:pPr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where K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vertAlign w:val="subscript"/>
          <w:lang w:val="en-US" w:eastAsia="zh-CN" w:bidi="ar"/>
        </w:rPr>
        <w:t>F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is the Freundlich constant related to the adsorption capacity, and 1/n is the dimensionless heterogeneity factor representing the adsorption intensity.</w:t>
      </w:r>
    </w:p>
    <w:p w14:paraId="455BC7D4">
      <w:pPr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Temkin Model:</w:t>
      </w:r>
    </w:p>
    <w:p w14:paraId="37BF991F">
      <w:pPr>
        <w:spacing w:line="360" w:lineRule="auto"/>
        <w:ind w:firstLine="0" w:firstLineChars="0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B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K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T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+Bln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C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i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5）</w:t>
      </w:r>
    </w:p>
    <w:p w14:paraId="671A989A">
      <w:pPr>
        <w:spacing w:line="360" w:lineRule="auto"/>
        <w:ind w:firstLine="2880" w:firstLineChars="1200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B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RT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b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6）</w:t>
      </w:r>
    </w:p>
    <w:p w14:paraId="1DD9F6D3">
      <w:p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Temkin equilibrium binding constant (L/mol); B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Temkin constant related to the heat of adsorption (J/mol); R is the ideal gas constant (8.314  J/(mol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K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sz w:val="24"/>
          <w:szCs w:val="24"/>
        </w:rPr>
        <w:t>; and 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is the absolute temperature (K).</w:t>
      </w:r>
    </w:p>
    <w:p w14:paraId="39D54B20">
      <w:p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Dubinin-Radushkevich (D-R) Model:</w:t>
      </w:r>
    </w:p>
    <w:p w14:paraId="1D80DD1F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m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-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K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D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sSup>
          <m:sSup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p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ε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p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2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p>
        </m:sSup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7）</w:t>
      </w:r>
    </w:p>
    <w:p w14:paraId="384EEE1F">
      <w:pPr>
        <w:spacing w:line="360" w:lineRule="auto"/>
        <w:ind w:firstLine="0" w:firstLineChars="0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ε=RTln(1+</m:t>
        </m:r>
        <m:f>
          <m:f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)</m:t>
        </m:r>
      </m:oMath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  <w:lang w:val="en-US" w:eastAsia="zh-CN"/>
        </w:rPr>
        <w:t xml:space="preserve">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8）</w:t>
      </w:r>
    </w:p>
    <w:p w14:paraId="13CFDC55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E=</m:t>
        </m:r>
        <m:f>
          <m:f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num>
          <m:den>
            <m:rad>
              <m:radPr>
                <m:degHide m:val="1"/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radPr>
              <m:deg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deg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(2K)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</m:rad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den>
        </m:f>
      </m:oMath>
      <w:r>
        <w:rPr>
          <w:rFonts w:hint="default" w:ascii="Times New Roman" w:hAnsi="Times New Roman" w:eastAsia="宋体" w:cs="Times New Roman"/>
          <w:i w:val="0"/>
          <w:sz w:val="24"/>
          <w:szCs w:val="24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9）</w:t>
      </w:r>
    </w:p>
    <w:p w14:paraId="43639FDC">
      <w:pPr>
        <w:tabs>
          <w:tab w:val="left" w:pos="2757"/>
        </w:tabs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D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activity coefficient related to the mean free energy of adsorption (mol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sz w:val="24"/>
          <w:szCs w:val="24"/>
        </w:rPr>
        <w:t>kJ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); q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theoretical monolayer saturation capacity (mol/g); varepsilon represents the Polanyi potential; and T is the absolute temperature (K). E denotes the mean free energy of adsorption (kJ/mol), which serves as a criterion to distinguish between physical adsorption (E&lt;8 kJ/mol) and chemical adsorption (E &gt; 8 kJ/mol).</w:t>
      </w:r>
    </w:p>
    <w:p w14:paraId="58BB3532">
      <w:pPr>
        <w:tabs>
          <w:tab w:val="left" w:pos="2757"/>
        </w:tabs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1C8AAEF">
      <w:pPr>
        <w:tabs>
          <w:tab w:val="left" w:pos="2757"/>
        </w:tabs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S3. Adsorption Kinetics and Mass Transfer Models</w:t>
      </w:r>
    </w:p>
    <w:p w14:paraId="093B1404">
      <w:pPr>
        <w:tabs>
          <w:tab w:val="left" w:pos="2757"/>
        </w:tabs>
        <w:spacing w:line="360" w:lineRule="auto"/>
        <w:ind w:firstLine="0" w:firstLineChars="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To decouple the rate-controlling steps and the internal mass transfer resistance during the adsorption process, the experimental data were analyzed using the pseudo-first-order, pseudo-second-order, intra-particle diffusion, and Bangham models [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44</w:t>
      </w:r>
      <w:r>
        <w:rPr>
          <w:rFonts w:hint="default" w:ascii="Times New Roman" w:hAnsi="Times New Roman" w:eastAsia="宋体" w:cs="Times New Roman"/>
          <w:sz w:val="24"/>
          <w:szCs w:val="24"/>
        </w:rPr>
        <w:t>]:Pseudo-first-order and Pseudo-second-order Models:</w:t>
      </w:r>
    </w:p>
    <w:p w14:paraId="6406CFB9">
      <w:pPr>
        <w:tabs>
          <w:tab w:val="left" w:pos="2757"/>
        </w:tabs>
        <w:spacing w:line="360" w:lineRule="auto"/>
        <w:ind w:firstLine="0" w:firstLineChars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  <m:oMath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ln(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-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t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)=ln</m:t>
        </m:r>
        <m:sSub>
          <m:sSub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e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-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K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1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2.303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</m:oMath>
      <w:r>
        <w:rPr>
          <w:rFonts w:hint="default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</w:rPr>
        <w:t>）</w:t>
      </w:r>
    </w:p>
    <w:p w14:paraId="04512161">
      <w:pPr>
        <w:tabs>
          <w:tab w:val="left" w:pos="2757"/>
        </w:tabs>
        <w:spacing w:line="360" w:lineRule="auto"/>
        <w:ind w:firstLine="0" w:firstLineChars="0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t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q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t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=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K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2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sSup>
              <m:sSup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eastAsia="宋体" w:cs="Times New Roman"/>
                        <w:b w:val="0"/>
                        <w:i w:val="0"/>
                        <w:iCs/>
                        <w:sz w:val="24"/>
                        <w:szCs w:val="24"/>
                      </w:rPr>
                      <m:t>q</m:t>
                    </m:r>
                    <m:ctrlPr>
                      <w:rPr>
                        <w:rFonts w:hint="default" w:ascii="Cambria Math" w:hAnsi="Cambria Math" w:eastAsia="宋体" w:cs="Times New Roman"/>
                        <w:iCs/>
                        <w:sz w:val="24"/>
                        <w:szCs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hint="default" w:ascii="Times New Roman" w:hAnsi="Times New Roman" w:eastAsia="宋体" w:cs="Times New Roman"/>
                        <w:b w:val="0"/>
                        <w:i w:val="0"/>
                        <w:iCs/>
                        <w:sz w:val="24"/>
                        <w:szCs w:val="24"/>
                      </w:rPr>
                      <m:t>e</m:t>
                    </m:r>
                    <m:ctrlPr>
                      <w:rPr>
                        <w:rFonts w:hint="default" w:ascii="Cambria Math" w:hAnsi="Cambria Math" w:eastAsia="宋体" w:cs="Times New Roman"/>
                        <w:iCs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p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2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p>
            </m:sSup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+</m:t>
        </m:r>
        <m:f>
          <m:fP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iCs/>
                <w:sz w:val="24"/>
                <w:szCs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q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iCs/>
                    <w:sz w:val="24"/>
                    <w:szCs w:val="24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Cs/>
                <w:sz w:val="24"/>
                <w:szCs w:val="24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iCs/>
            <w:sz w:val="24"/>
            <w:szCs w:val="24"/>
          </w:rPr>
          <m:t>t</m:t>
        </m:r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11）</w:t>
      </w:r>
    </w:p>
    <w:p w14:paraId="48CC4B6E">
      <w:pPr>
        <w:spacing w:line="360" w:lineRule="auto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q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 xml:space="preserve">t </w:t>
      </w:r>
      <w:r>
        <w:rPr>
          <w:rFonts w:hint="default" w:ascii="Times New Roman" w:hAnsi="Times New Roman" w:eastAsia="宋体" w:cs="Times New Roman"/>
          <w:sz w:val="24"/>
          <w:szCs w:val="24"/>
        </w:rPr>
        <w:t>is the adsorption capacity at time t (mg/g);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sz w:val="24"/>
          <w:szCs w:val="24"/>
        </w:rPr>
        <w:t>min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) and 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(g/(mg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min)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are the rate constants of the pseudo-first-order and pseudo-second-order kinetic models, respectively.</w:t>
      </w:r>
    </w:p>
    <w:p w14:paraId="5037B50F">
      <w:pPr>
        <w:spacing w:line="360" w:lineRule="auto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Intra-particle Diffusion Model (Weber-Morris):</w:t>
      </w:r>
    </w:p>
    <w:p w14:paraId="69BB3FCD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m:oMath>
        <m:sSub>
          <m:sSub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q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t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</m:t>
        </m:r>
        <m:sSub>
          <m:sSub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K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id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ub>
        </m:sSub>
        <m:sSup>
          <m:sSup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Sup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t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e>
          <m:sup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0.5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up>
        </m:sSup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+C</m:t>
        </m:r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12）</w:t>
      </w:r>
    </w:p>
    <w:p w14:paraId="5B486368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</w:p>
    <w:p w14:paraId="485A3C22">
      <w:pPr>
        <w:spacing w:line="360" w:lineRule="auto"/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p w14:paraId="0FB42418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where k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id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is the intra-particle diffusion rate constant mg/(g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min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0.5</w:t>
      </w:r>
      <w:r>
        <w:rPr>
          <w:rFonts w:hint="default" w:ascii="Times New Roman" w:hAnsi="Times New Roman" w:eastAsia="宋体" w:cs="Times New Roman"/>
          <w:sz w:val="24"/>
          <w:szCs w:val="24"/>
        </w:rPr>
        <w:t>), and C is the intercept proportional to the boundary layer thickness.</w:t>
      </w:r>
    </w:p>
    <w:p w14:paraId="07ADE376">
      <w:pPr>
        <w:spacing w:line="360" w:lineRule="auto"/>
        <w:rPr>
          <w:rFonts w:hint="default" w:ascii="Times New Roman" w:hAnsi="Times New Roman" w:eastAsia="宋体" w:cs="Times New Roman"/>
          <w:b w:val="0"/>
          <w:i w:val="0"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Bangham Model:</w:t>
      </w:r>
    </w:p>
    <w:p w14:paraId="2EA059B6">
      <w:pPr>
        <w:spacing w:line="360" w:lineRule="auto"/>
        <w:rPr>
          <w:rFonts w:hint="default" w:ascii="Times New Roman" w:hAnsi="Times New Roman" w:eastAsia="宋体" w:cs="Times New Roman"/>
          <w:iCs/>
          <w:sz w:val="24"/>
          <w:szCs w:val="24"/>
        </w:rPr>
      </w:pPr>
      <m:oMathPara>
        <m:oMath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iCs/>
              <w:sz w:val="24"/>
              <w:szCs w:val="24"/>
            </w:rPr>
            <m:t>loglog[</m:t>
          </m:r>
          <m:f>
            <m:fP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C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e>
                <m:sub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0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ub>
              </m:sSub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num>
            <m:den>
              <m:sSub>
                <m:sSubP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C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e>
                <m:sub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0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ub>
              </m:sSub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iCs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q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e>
                <m:sub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t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ub>
              </m:sSub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iCs/>
                  <w:sz w:val="24"/>
                  <w:szCs w:val="24"/>
                </w:rPr>
                <m:t>m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den>
          </m:f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iCs/>
              <w:sz w:val="24"/>
              <w:szCs w:val="24"/>
            </w:rPr>
            <m:t>]=log[</m:t>
          </m:r>
          <m:f>
            <m:fP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k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e>
                <m:sub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iCs/>
                      <w:sz w:val="24"/>
                      <w:szCs w:val="24"/>
                    </w:rPr>
                    <m:t>0</m:t>
                  </m:r>
                  <m:ctrlPr>
                    <w:rPr>
                      <w:rFonts w:hint="default" w:ascii="Cambria Math" w:hAnsi="Cambria Math" w:eastAsia="宋体" w:cs="Times New Roman"/>
                      <w:iCs/>
                      <w:sz w:val="24"/>
                      <w:szCs w:val="24"/>
                    </w:rPr>
                  </m:ctrlPr>
                </m:sub>
              </m:sSub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iCs/>
                  <w:sz w:val="24"/>
                  <w:szCs w:val="24"/>
                </w:rPr>
                <m:t>m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num>
            <m:den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iCs/>
                  <w:sz w:val="24"/>
                  <w:szCs w:val="24"/>
                </w:rPr>
                <m:t>2.303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den>
          </m:f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iCs/>
              <w:sz w:val="24"/>
              <w:szCs w:val="24"/>
            </w:rPr>
            <m:t>]+αlogt</m:t>
          </m:r>
        </m:oMath>
      </m:oMathPara>
    </w:p>
    <w:p w14:paraId="589E78EE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13）</w:t>
      </w:r>
    </w:p>
    <w:p w14:paraId="694F3CAC">
      <w:pPr>
        <w:spacing w:line="360" w:lineRule="auto"/>
        <w:rPr>
          <w:rFonts w:hint="default" w:ascii="Times New Roman" w:hAnsi="Times New Roman" w:eastAsia="sans-serif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sz w:val="24"/>
          <w:szCs w:val="24"/>
        </w:rPr>
        <w:t>where k</w:t>
      </w:r>
      <w:r>
        <w:rPr>
          <w:rFonts w:hint="default" w:ascii="Times New Roman" w:hAnsi="Times New Roman" w:eastAsia="sans-serif" w:cs="Times New Roman"/>
          <w:sz w:val="24"/>
          <w:szCs w:val="24"/>
          <w:vertAlign w:val="subscript"/>
        </w:rPr>
        <w:t>B</w:t>
      </w:r>
      <w:r>
        <w:rPr>
          <w:rFonts w:hint="default" w:ascii="Times New Roman" w:hAnsi="Times New Roman" w:eastAsia="sans-serif" w:cs="Times New Roman"/>
          <w:sz w:val="24"/>
          <w:szCs w:val="24"/>
        </w:rPr>
        <w:t xml:space="preserve"> and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α</w:t>
      </w:r>
      <w:r>
        <w:rPr>
          <w:rFonts w:hint="default" w:ascii="Times New Roman" w:hAnsi="Times New Roman" w:eastAsia="sans-serif" w:cs="Times New Roman"/>
          <w:sz w:val="24"/>
          <w:szCs w:val="24"/>
        </w:rPr>
        <w:t xml:space="preserve"> are the Bangham constants corresponding to the pore diffusion behavior. </w:t>
      </w:r>
    </w:p>
    <w:p w14:paraId="0F1FCDC9">
      <w:pPr>
        <w:spacing w:line="360" w:lineRule="auto"/>
        <w:rPr>
          <w:rFonts w:hint="default" w:ascii="Times New Roman" w:hAnsi="Times New Roman" w:eastAsia="sans-serif" w:cs="Times New Roman"/>
          <w:sz w:val="24"/>
          <w:szCs w:val="24"/>
        </w:rPr>
      </w:pPr>
    </w:p>
    <w:p w14:paraId="00F425EB">
      <w:pPr>
        <w:spacing w:line="360" w:lineRule="auto"/>
        <w:rPr>
          <w:rFonts w:hint="default" w:ascii="Times New Roman" w:hAnsi="Times New Roman" w:eastAsia="sans-serif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S4.Adsorption Thermodynamic Parameters</w:t>
      </w:r>
    </w:p>
    <w:p w14:paraId="6C388C1A">
      <w:pPr>
        <w:spacing w:line="360" w:lineRule="auto"/>
        <w:rPr>
          <w:rFonts w:hint="default" w:ascii="Times New Roman" w:hAnsi="Times New Roman" w:eastAsia="sans-serif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sz w:val="24"/>
          <w:szCs w:val="24"/>
        </w:rPr>
        <w:t>The standard Gibbs free energy change (Δ G), enthalpy change (ΔH), and entropy change (ΔS) of the adsorption system were evaluated using the following van't Hoff equations [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bookmarkStart w:id="4" w:name="_GoBack"/>
      <w:bookmarkEnd w:id="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sans-serif" w:cs="Times New Roman"/>
          <w:sz w:val="24"/>
          <w:szCs w:val="24"/>
        </w:rPr>
        <w:t>]:</w:t>
      </w:r>
    </w:p>
    <w:p w14:paraId="69864824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m:oMathPara>
        <m:oMath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sz w:val="24"/>
              <w:szCs w:val="24"/>
            </w:rPr>
            <m:t>ln</m:t>
          </m:r>
          <m:sSub>
            <m:sSubPr>
              <m:ctrlPr>
                <w:rPr>
                  <w:rFonts w:hint="default" w:ascii="Cambria Math" w:hAnsi="Cambria Math" w:eastAsia="宋体" w:cs="Times New Roman"/>
                  <w:i/>
                  <w:sz w:val="24"/>
                  <w:szCs w:val="24"/>
                </w:rPr>
              </m:ctrlPr>
            </m:sSubPr>
            <m:e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K</m:t>
              </m:r>
              <m:ctrlPr>
                <w:rPr>
                  <w:rFonts w:hint="default" w:ascii="Cambria Math" w:hAnsi="Cambria Math" w:eastAsia="宋体" w:cs="Times New Roman"/>
                  <w:i/>
                  <w:sz w:val="24"/>
                  <w:szCs w:val="24"/>
                </w:rPr>
              </m:ctrlPr>
            </m:e>
            <m:sub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c</m:t>
              </m:r>
              <m:ctrlPr>
                <w:rPr>
                  <w:rFonts w:hint="default" w:ascii="Cambria Math" w:hAnsi="Cambria Math" w:eastAsia="宋体" w:cs="Times New Roman"/>
                  <w:i/>
                  <w:sz w:val="24"/>
                  <w:szCs w:val="24"/>
                </w:rPr>
              </m:ctrlPr>
            </m:sub>
          </m:sSub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sz w:val="24"/>
              <w:szCs w:val="24"/>
            </w:rPr>
            <m:t>=-</m:t>
          </m:r>
          <m:f>
            <m:fP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∆H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num>
            <m:den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RT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den>
          </m:f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sz w:val="24"/>
              <w:szCs w:val="24"/>
            </w:rPr>
            <m:t>+</m:t>
          </m:r>
          <m:f>
            <m:fP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∆S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num>
            <m:den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R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den>
          </m:f>
        </m:oMath>
      </m:oMathPara>
    </w:p>
    <w:p w14:paraId="5F8A88A2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14）</w:t>
      </w:r>
    </w:p>
    <w:p w14:paraId="60A89CD8">
      <w:pPr>
        <w:spacing w:line="360" w:lineRule="auto"/>
        <w:rPr>
          <w:rFonts w:hint="default" w:ascii="Times New Roman" w:hAnsi="Times New Roman" w:eastAsia="宋体" w:cs="Times New Roman"/>
          <w:iCs/>
          <w:sz w:val="24"/>
          <w:szCs w:val="24"/>
        </w:rPr>
      </w:pPr>
      <m:oMathPara>
        <m:oMath>
          <m:r>
            <m:rPr>
              <m:nor/>
              <m:sty m:val="p"/>
            </m:rPr>
            <w:rPr>
              <w:rFonts w:hint="default" w:ascii="Times New Roman" w:hAnsi="Times New Roman" w:eastAsia="宋体" w:cs="Times New Roman"/>
              <w:b w:val="0"/>
              <w:i w:val="0"/>
              <w:sz w:val="24"/>
              <w:szCs w:val="24"/>
            </w:rPr>
            <m:t>∆G=-RTln</m:t>
          </m:r>
          <m:sSub>
            <m:sSubP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sSubPr>
            <m:e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K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e>
            <m:sub>
              <m:r>
                <m:rPr>
                  <m:nor/>
                  <m:sty m:val="p"/>
                </m:rPr>
                <w:rPr>
                  <w:rFonts w:hint="default" w:ascii="Times New Roman" w:hAnsi="Times New Roman" w:eastAsia="宋体" w:cs="Times New Roman"/>
                  <w:b w:val="0"/>
                  <w:i w:val="0"/>
                  <w:sz w:val="24"/>
                  <w:szCs w:val="24"/>
                </w:rPr>
                <m:t>c</m:t>
              </m:r>
              <m:ctrlPr>
                <w:rPr>
                  <w:rFonts w:hint="default" w:ascii="Cambria Math" w:hAnsi="Cambria Math" w:eastAsia="宋体" w:cs="Times New Roman"/>
                  <w:iCs/>
                  <w:sz w:val="24"/>
                  <w:szCs w:val="24"/>
                </w:rPr>
              </m:ctrlPr>
            </m:sub>
          </m:sSub>
        </m:oMath>
      </m:oMathPara>
    </w:p>
    <w:p w14:paraId="3F95FD2F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15）</w:t>
      </w:r>
    </w:p>
    <w:p w14:paraId="781ED16F"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  </w:t>
      </w:r>
      <m:oMath>
        <m:sSub>
          <m:sSub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K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  <w:sz w:val="24"/>
                <w:szCs w:val="24"/>
              </w:rPr>
              <m:t>c</m:t>
            </m: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  <w:sz w:val="24"/>
            <w:szCs w:val="24"/>
          </w:rPr>
          <m:t>=</m:t>
        </m:r>
        <m:f>
          <m:fPr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Ae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C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  <m:sub>
                <m:r>
                  <m:rPr>
                    <m:nor/>
                    <m:sty m:val="p"/>
                  </m:rPr>
                  <w:rPr>
                    <w:rFonts w:hint="default" w:ascii="Times New Roman" w:hAnsi="Times New Roman" w:eastAsia="宋体" w:cs="Times New Roman"/>
                    <w:b w:val="0"/>
                    <w:i w:val="0"/>
                    <w:sz w:val="24"/>
                    <w:szCs w:val="24"/>
                  </w:rPr>
                  <m:t>e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den>
        </m:f>
      </m:oMath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                    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szCs w:val="24"/>
        </w:rPr>
        <w:t>16）</w:t>
      </w:r>
    </w:p>
    <w:p w14:paraId="331479C7">
      <w:pPr>
        <w:spacing w:line="360" w:lineRule="auto"/>
        <w:jc w:val="both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where K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vertAlign w:val="subscript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is the dimensionless thermodynamic equilibrium constant (Note: K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vertAlign w:val="subscript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must be converted into a dimensionless form using density and molecular weight calibrations prior to thermodynamic calculations).</w:t>
      </w:r>
    </w:p>
    <w:p w14:paraId="0D3DCE6F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</w:p>
    <w:p w14:paraId="2DCDE664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S5. Supplementary Figures Captions</w:t>
      </w:r>
    </w:p>
    <w:p w14:paraId="18BA6DE6">
      <w:pPr>
        <w:spacing w:line="360" w:lineRule="auto"/>
        <w:jc w:val="both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61300049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shd w:val="clear" w:color="auto" w:fill="auto"/>
        </w:rPr>
      </w:pPr>
      <w:r>
        <w:drawing>
          <wp:inline distT="0" distB="0" distL="114300" distR="114300">
            <wp:extent cx="4895215" cy="1927860"/>
            <wp:effectExtent l="0" t="0" r="635" b="5715"/>
            <wp:docPr id="4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00642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Fig. S1 Comparison of macroscopic adsorption capacities of pristine GO, pure CS, and GO/CS composite hydrogel for (a) MB and (b) MG.</w:t>
      </w:r>
    </w:p>
    <w:p w14:paraId="15C90076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0943463C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923790" cy="1864995"/>
            <wp:effectExtent l="0" t="0" r="63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379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49659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000000"/>
          <w:sz w:val="24"/>
          <w:szCs w:val="24"/>
        </w:rPr>
        <w:t>Fig. S2 Effect of composite hydrogel dosage on the adsorption performance toward (a) MB and (b) MG.</w:t>
      </w:r>
    </w:p>
    <w:p w14:paraId="38AFEC96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/>
          <w:sz w:val="24"/>
          <w:szCs w:val="24"/>
        </w:rPr>
      </w:pPr>
    </w:p>
    <w:p w14:paraId="3B5DFFB3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304030" cy="1620520"/>
            <wp:effectExtent l="0" t="0" r="1270" b="825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0403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3E3B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545767BC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bookmarkStart w:id="1" w:name="_Hlk161861588"/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Fig. S3 Effects of initial solution pH on the adsorption of (a) MB and (b) MG onto GO/CS.</w:t>
      </w:r>
    </w:p>
    <w:p w14:paraId="39F5F69A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</w:p>
    <w:bookmarkEnd w:id="1"/>
    <w:p w14:paraId="290F374F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491990" cy="1689100"/>
            <wp:effectExtent l="0" t="0" r="3810" b="635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199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CD234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000000"/>
          <w:sz w:val="24"/>
          <w:szCs w:val="24"/>
        </w:rPr>
        <w:t>Fig. S4 Effect of reaction temperature on the adsorption of (a) MB and (b) MG by GO/CS.</w:t>
      </w:r>
    </w:p>
    <w:p w14:paraId="0BC9CDE4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color w:val="000000"/>
          <w:sz w:val="24"/>
          <w:szCs w:val="24"/>
        </w:rPr>
      </w:pPr>
    </w:p>
    <w:p w14:paraId="3FA1AF03">
      <w:pPr>
        <w:spacing w:line="360" w:lineRule="auto"/>
        <w:ind w:firstLine="0" w:firstLineChars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584700" cy="1765300"/>
            <wp:effectExtent l="0" t="0" r="6350" b="635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DADEB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Fig. S5 Kinetic effect of contact time on the sequestration performance of GO/CS for (a) MB and (b) MG.</w:t>
      </w:r>
    </w:p>
    <w:p w14:paraId="4184E51C">
      <w:pPr>
        <w:spacing w:line="360" w:lineRule="auto"/>
        <w:ind w:firstLine="0" w:firstLineChars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311650" cy="1643380"/>
            <wp:effectExtent l="0" t="0" r="3175" b="4445"/>
            <wp:docPr id="4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6427C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Fig. S6 Effect of initial dye concentration on the capture capacity of GO/CS for (a) MB and (b) MG.</w:t>
      </w:r>
    </w:p>
    <w:p w14:paraId="22F7AC0B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</w:p>
    <w:p w14:paraId="6894392D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0" distR="0">
            <wp:extent cx="3448685" cy="2496185"/>
            <wp:effectExtent l="0" t="0" r="8890" b="8890"/>
            <wp:docPr id="42493257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A8370C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Fig. S7 Linear van't Hoff thermodynamic fitting for the adsorption of MB onto the GO/CS system.</w:t>
      </w:r>
    </w:p>
    <w:p w14:paraId="79F5A304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0" distR="0">
            <wp:extent cx="3322955" cy="2326005"/>
            <wp:effectExtent l="0" t="0" r="1270" b="7620"/>
            <wp:docPr id="1317062994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91ACF15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Fig. S8 Linear van't Hoff thermodynamic fitting for the adsorption of MG onto the GO/CS system.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C36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FC2A376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844675"/>
                  <wp:effectExtent l="0" t="0" r="3175" b="3175"/>
                  <wp:docPr id="7679172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91728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905BD29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913255"/>
                  <wp:effectExtent l="0" t="0" r="3175" b="1270"/>
                  <wp:docPr id="5738913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89135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91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EB0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591A2B5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893570"/>
                  <wp:effectExtent l="0" t="0" r="3175" b="1905"/>
                  <wp:docPr id="13394330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43308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F1BBB3E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drawing>
                <wp:inline distT="0" distB="0" distL="114300" distR="114300">
                  <wp:extent cx="2567305" cy="1732915"/>
                  <wp:effectExtent l="0" t="0" r="4445" b="63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97348">
      <w:pPr>
        <w:pStyle w:val="9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bookmarkStart w:id="2" w:name="_Hlk161862939"/>
      <w:r>
        <w:rPr>
          <w:rFonts w:hint="default" w:ascii="Times New Roman" w:hAnsi="Times New Roman" w:cs="Times New Roman"/>
          <w:sz w:val="24"/>
          <w:szCs w:val="24"/>
        </w:rPr>
        <w:t>Fig. S9 Non-linear/linear fitting evaluation of adsorption isotherms for MB: (a) Langmuir, (b) Freundlich, (c) Temkin, and (d) Dubinin-Radushkevich (D-R) models.</w:t>
      </w:r>
    </w:p>
    <w:p w14:paraId="03AAF702">
      <w:pPr>
        <w:pStyle w:val="9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bookmarkEnd w:id="2"/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7"/>
        <w:gridCol w:w="4305"/>
      </w:tblGrid>
      <w:tr w14:paraId="5C96A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top"/>
          </w:tcPr>
          <w:p w14:paraId="3186359D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877695"/>
                  <wp:effectExtent l="0" t="0" r="3175" b="8255"/>
                  <wp:docPr id="152614096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14096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87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top"/>
          </w:tcPr>
          <w:p w14:paraId="04C38A20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2564765" cy="1929765"/>
                  <wp:effectExtent l="0" t="0" r="6985" b="3810"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76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01E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top"/>
          </w:tcPr>
          <w:p w14:paraId="1ADFE669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946275"/>
                  <wp:effectExtent l="0" t="0" r="3175" b="6350"/>
                  <wp:docPr id="16903336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3336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94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top"/>
          </w:tcPr>
          <w:p w14:paraId="1A9714B3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drawing>
                <wp:inline distT="0" distB="0" distL="114300" distR="114300">
                  <wp:extent cx="2628265" cy="1847850"/>
                  <wp:effectExtent l="0" t="0" r="635" b="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26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F7211F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Fig. S10 Non-linear/linear fitting evaluation of adsorption isotherms for MG: (a) Langmuir, (b) Freundlich, (c) Temkin, and (d) Dubinin-Radushkevich (D-R) models.</w:t>
      </w:r>
    </w:p>
    <w:p w14:paraId="0FCF6EAF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F26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B867869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896110"/>
                  <wp:effectExtent l="0" t="0" r="3175" b="8890"/>
                  <wp:docPr id="863084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08447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89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0C63688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968500"/>
                  <wp:effectExtent l="0" t="0" r="3175" b="3175"/>
                  <wp:docPr id="132753019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53019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77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7C0DB46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990090"/>
                  <wp:effectExtent l="0" t="0" r="3175" b="635"/>
                  <wp:docPr id="158826697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26697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shd w:val="clear" w:color="auto" w:fill="auto"/>
          </w:tcPr>
          <w:p w14:paraId="5CA8C41A">
            <w:pPr>
              <w:spacing w:line="360" w:lineRule="auto"/>
              <w:ind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68575" cy="1842770"/>
                  <wp:effectExtent l="0" t="0" r="3175" b="5080"/>
                  <wp:docPr id="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184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E19D6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黑体" w:cs="Times New Roman"/>
          <w:sz w:val="24"/>
          <w:szCs w:val="24"/>
        </w:rPr>
      </w:pPr>
      <w:bookmarkStart w:id="3" w:name="_Hlk161863804"/>
      <w:r>
        <w:rPr>
          <w:rFonts w:hint="default" w:ascii="Times New Roman" w:hAnsi="Times New Roman" w:eastAsia="黑体" w:cs="Times New Roman"/>
          <w:sz w:val="24"/>
          <w:szCs w:val="24"/>
        </w:rPr>
        <w:t>Fig. S11 Multi-scale kinetic and mass transfer resistance model fittings for MB adsorption: (a) pseudo-first-order, (b) pseudo-second-order, (c) intra-particle diffusion, and (d) Bangham pore diffusion models.</w:t>
      </w:r>
    </w:p>
    <w:p w14:paraId="0193593F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黑体" w:cs="Times New Roman"/>
          <w:sz w:val="24"/>
          <w:szCs w:val="24"/>
        </w:rPr>
      </w:pPr>
    </w:p>
    <w:bookmarkEnd w:id="3"/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7"/>
        <w:gridCol w:w="4385"/>
      </w:tblGrid>
      <w:tr w14:paraId="70985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4CA7F1B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57780" cy="1769110"/>
                  <wp:effectExtent l="0" t="0" r="4445" b="2540"/>
                  <wp:docPr id="1465002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027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80" cy="176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77AE461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646045" cy="1748790"/>
                  <wp:effectExtent l="0" t="0" r="1905" b="3810"/>
                  <wp:docPr id="39769354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69354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045" cy="174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ECD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F8AB222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521585" cy="1892300"/>
                  <wp:effectExtent l="0" t="0" r="2540" b="3175"/>
                  <wp:docPr id="146210553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10553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1585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6E074C8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718435" cy="1956435"/>
                  <wp:effectExtent l="0" t="0" r="5715" b="5715"/>
                  <wp:docPr id="19283360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3360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435" cy="195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6FA1E">
      <w:pPr>
        <w:spacing w:line="360" w:lineRule="auto"/>
        <w:ind w:firstLine="420"/>
        <w:jc w:val="center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Fig. S12 Multi-scale kinetic and mass transfer resistance model fittings for MG adsorption: (a) pseudo-first-order, (b) pseudo-second-order, (c) intra-particle diffusion, and (d) Bangham pore diffusion models.</w:t>
      </w:r>
    </w:p>
    <w:p w14:paraId="78C662DB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50A77FE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67960" cy="1969770"/>
            <wp:effectExtent l="0" t="0" r="8890" b="190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FB7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000000"/>
          <w:sz w:val="24"/>
          <w:szCs w:val="24"/>
        </w:rPr>
        <w:t>Fig. S13 Comparative evaluation of elution efficiencies of different physicochemical eluents for the desorption of (a) MB and (b) MG from the composite skeleton.</w:t>
      </w:r>
    </w:p>
    <w:p w14:paraId="5A9F7D7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31276A9B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F2414"/>
    <w:rsid w:val="009E600D"/>
    <w:rsid w:val="032C0F68"/>
    <w:rsid w:val="03F33F0E"/>
    <w:rsid w:val="08397703"/>
    <w:rsid w:val="0A003FAA"/>
    <w:rsid w:val="0D5A43A4"/>
    <w:rsid w:val="0ECD6DF7"/>
    <w:rsid w:val="11A025A1"/>
    <w:rsid w:val="141B298B"/>
    <w:rsid w:val="14E07884"/>
    <w:rsid w:val="15883A78"/>
    <w:rsid w:val="15F725C8"/>
    <w:rsid w:val="1BEC12B2"/>
    <w:rsid w:val="210E0BD3"/>
    <w:rsid w:val="23E17175"/>
    <w:rsid w:val="240F42C7"/>
    <w:rsid w:val="25050C41"/>
    <w:rsid w:val="25421E95"/>
    <w:rsid w:val="25E76599"/>
    <w:rsid w:val="2701019D"/>
    <w:rsid w:val="280A0116"/>
    <w:rsid w:val="28F05023"/>
    <w:rsid w:val="2A1C0F07"/>
    <w:rsid w:val="2C4B5AD3"/>
    <w:rsid w:val="2DA0303E"/>
    <w:rsid w:val="2E8157DC"/>
    <w:rsid w:val="30445E62"/>
    <w:rsid w:val="325F3496"/>
    <w:rsid w:val="32CC7242"/>
    <w:rsid w:val="340F31EE"/>
    <w:rsid w:val="3540660D"/>
    <w:rsid w:val="36A55DE0"/>
    <w:rsid w:val="37D746BF"/>
    <w:rsid w:val="3D031AB2"/>
    <w:rsid w:val="3D077CC9"/>
    <w:rsid w:val="3DC56D68"/>
    <w:rsid w:val="3DED3F4B"/>
    <w:rsid w:val="3E7C4DD3"/>
    <w:rsid w:val="3F104DF2"/>
    <w:rsid w:val="41B6401B"/>
    <w:rsid w:val="42210616"/>
    <w:rsid w:val="42D03239"/>
    <w:rsid w:val="45801D20"/>
    <w:rsid w:val="45D65FB6"/>
    <w:rsid w:val="471F6371"/>
    <w:rsid w:val="47266AC9"/>
    <w:rsid w:val="479B74FB"/>
    <w:rsid w:val="49ED5236"/>
    <w:rsid w:val="4A0B7B7C"/>
    <w:rsid w:val="4A235F41"/>
    <w:rsid w:val="4AF92706"/>
    <w:rsid w:val="4BC62629"/>
    <w:rsid w:val="533E1E3C"/>
    <w:rsid w:val="55B02072"/>
    <w:rsid w:val="57234DD3"/>
    <w:rsid w:val="57C078D9"/>
    <w:rsid w:val="5812069C"/>
    <w:rsid w:val="58871E88"/>
    <w:rsid w:val="58B24661"/>
    <w:rsid w:val="5E734892"/>
    <w:rsid w:val="61311E78"/>
    <w:rsid w:val="62E0626E"/>
    <w:rsid w:val="632E6FDA"/>
    <w:rsid w:val="674F21F6"/>
    <w:rsid w:val="67D143D7"/>
    <w:rsid w:val="67D5211A"/>
    <w:rsid w:val="6AA979A5"/>
    <w:rsid w:val="6C7C7137"/>
    <w:rsid w:val="6CE30E35"/>
    <w:rsid w:val="6D7D3037"/>
    <w:rsid w:val="6F4162E7"/>
    <w:rsid w:val="704E3A0C"/>
    <w:rsid w:val="71096990"/>
    <w:rsid w:val="721A5B23"/>
    <w:rsid w:val="7254219B"/>
    <w:rsid w:val="738549F4"/>
    <w:rsid w:val="75986535"/>
    <w:rsid w:val="7A0F2414"/>
    <w:rsid w:val="7AD31142"/>
    <w:rsid w:val="7B6475E5"/>
    <w:rsid w:val="7B8E2585"/>
    <w:rsid w:val="7BCE4A5E"/>
    <w:rsid w:val="7C6C4C8F"/>
    <w:rsid w:val="7DFF23AB"/>
    <w:rsid w:val="7F19202E"/>
    <w:rsid w:val="7FC8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 w:firstLineChars="0"/>
      <w:outlineLvl w:val="1"/>
    </w:pPr>
    <w:rPr>
      <w:rFonts w:eastAsia="黑体"/>
    </w:rPr>
  </w:style>
  <w:style w:type="paragraph" w:styleId="3">
    <w:name w:val="heading 3"/>
    <w:basedOn w:val="1"/>
    <w:next w:val="1"/>
    <w:qFormat/>
    <w:uiPriority w:val="0"/>
    <w:pPr>
      <w:keepNext/>
      <w:keepLines/>
      <w:ind w:firstLine="0" w:firstLineChars="0"/>
      <w:outlineLvl w:val="2"/>
    </w:pPr>
    <w:rPr>
      <w:rFonts w:eastAsia="仿宋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表题"/>
    <w:basedOn w:val="1"/>
    <w:qFormat/>
    <w:uiPriority w:val="0"/>
    <w:pPr>
      <w:ind w:firstLine="0" w:firstLineChars="0"/>
      <w:jc w:val="center"/>
    </w:pPr>
    <w:rPr>
      <w:rFonts w:eastAsia="黑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chart" Target="charts/chart2.xml"/><Relationship Id="rId10" Type="http://schemas.openxmlformats.org/officeDocument/2006/relationships/chart" Target="charts/chart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Lenovo\Desktop\&#27605;&#19994;&#35770;&#25991;\&#25968;&#25454;-&#25972;&#29702;&#27169;&#26495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Lenovo\Desktop\&#27605;&#19994;&#35770;&#25991;\&#25968;&#25454;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315970663074"/>
          <c:y val="0.0448730564849439"/>
          <c:w val="0.772459212692711"/>
          <c:h val="0.763589844518796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12700" cmpd="sng">
                <a:solidFill>
                  <a:schemeClr val="tx1"/>
                </a:solidFill>
                <a:prstDash val="solid"/>
              </a:ln>
              <a:effectLst/>
            </c:spPr>
          </c:marker>
          <c:dLbls>
            <c:delete val="1"/>
          </c:dLbls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 cmpd="sng">
                <a:solidFill>
                  <a:schemeClr val="tx1"/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96052631578947"/>
                  <c:y val="0.11805555555555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anchor="ctr" anchorCtr="1"/>
                <a:lstStyle/>
                <a:p>
                  <a:pPr>
                    <a:defRPr lang="zh-CN" sz="105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defRPr>
                  </a:pPr>
                </a:p>
              </c:txPr>
            </c:trendlineLbl>
          </c:trendline>
          <c:xVal>
            <c:numRef>
              <c:f>'[数据-整理模板.xlsx]吸附条件'!$H$87:$L$87</c:f>
              <c:numCache>
                <c:formatCode>0.0000_ </c:formatCode>
                <c:ptCount val="5"/>
                <c:pt idx="0">
                  <c:v>0.00341122292341805</c:v>
                </c:pt>
                <c:pt idx="1">
                  <c:v>0.0032986970146792</c:v>
                </c:pt>
                <c:pt idx="2">
                  <c:v>0.00319335781574325</c:v>
                </c:pt>
                <c:pt idx="3">
                  <c:v>0.00309453814018258</c:v>
                </c:pt>
                <c:pt idx="4">
                  <c:v>0.0030016509079994</c:v>
                </c:pt>
              </c:numCache>
            </c:numRef>
          </c:xVal>
          <c:yVal>
            <c:numRef>
              <c:f>'[数据-整理模板.xlsx]吸附条件'!$H$88:$L$88</c:f>
              <c:numCache>
                <c:formatCode>0.0000_ </c:formatCode>
                <c:ptCount val="5"/>
                <c:pt idx="0">
                  <c:v>1.52878250466713</c:v>
                </c:pt>
                <c:pt idx="1">
                  <c:v>2.10723973224175</c:v>
                </c:pt>
                <c:pt idx="2">
                  <c:v>2.56195107441311</c:v>
                </c:pt>
                <c:pt idx="3">
                  <c:v>2.51360362606393</c:v>
                </c:pt>
                <c:pt idx="4">
                  <c:v>2.64946474456557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25941809"/>
        <c:axId val="850598388"/>
      </c:scatterChart>
      <c:valAx>
        <c:axId val="625941809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sz="105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1/T</a:t>
                </a:r>
                <a:endParaRPr lang="en-US" altLang="zh-CN" sz="1050" b="1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.0000_ 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850598388"/>
        <c:crosses val="autoZero"/>
        <c:crossBetween val="midCat"/>
      </c:valAx>
      <c:valAx>
        <c:axId val="850598388"/>
        <c:scaling>
          <c:orientation val="minMax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sz="105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K</a:t>
                </a:r>
                <a:r>
                  <a:rPr lang="en-US" altLang="zh-CN" sz="1050" b="1" baseline="-2500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c</a:t>
                </a:r>
                <a:endParaRPr lang="en-US" altLang="zh-CN" sz="1050" b="1" baseline="-25000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>
            <c:manualLayout>
              <c:xMode val="edge"/>
              <c:yMode val="edge"/>
              <c:x val="0.0317317766801377"/>
              <c:y val="0.40078724660499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0_);[Red]\(0.00\)" sourceLinked="0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625941809"/>
        <c:crosses val="autoZero"/>
        <c:crossBetween val="midCat"/>
      </c:valAx>
      <c:spPr>
        <a:noFill/>
        <a:ln w="12700" cap="flat" cmpd="sng" algn="ctr">
          <a:solidFill>
            <a:schemeClr val="tx1"/>
          </a:solidFill>
          <a:round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1b73e8b-ff51-42f5-a916-e3092041930a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050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488986784141"/>
          <c:y val="0.0290697674418605"/>
          <c:w val="0.815389133627019"/>
          <c:h val="0.782325581395349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12700" cmpd="sng">
                <a:solidFill>
                  <a:schemeClr val="tx1"/>
                </a:solidFill>
                <a:prstDash val="solid"/>
              </a:ln>
              <a:effectLst/>
            </c:spPr>
          </c:marker>
          <c:dLbls>
            <c:delete val="1"/>
          </c:dLbls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 cmpd="sng">
                <a:solidFill>
                  <a:schemeClr val="tx1"/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41808730809099"/>
                  <c:y val="0.13280577088716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anchor="ctr" anchorCtr="1"/>
                <a:lstStyle/>
                <a:p>
                  <a:pPr>
                    <a:defRPr lang="zh-CN" sz="105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defRPr>
                  </a:pPr>
                </a:p>
              </c:txPr>
            </c:trendlineLbl>
          </c:trendline>
          <c:xVal>
            <c:numRef>
              <c:f>[数据2.xlsx]Sheet1!$I$110:$M$110</c:f>
              <c:numCache>
                <c:formatCode>General</c:formatCode>
                <c:ptCount val="5"/>
                <c:pt idx="0">
                  <c:v>0.00341122292341805</c:v>
                </c:pt>
                <c:pt idx="1">
                  <c:v>0.0032986970146792</c:v>
                </c:pt>
                <c:pt idx="2">
                  <c:v>0.00319335781574325</c:v>
                </c:pt>
                <c:pt idx="3">
                  <c:v>0.00309453814018258</c:v>
                </c:pt>
                <c:pt idx="4">
                  <c:v>0.0030016509079994</c:v>
                </c:pt>
              </c:numCache>
            </c:numRef>
          </c:xVal>
          <c:yVal>
            <c:numRef>
              <c:f>[数据2.xlsx]Sheet1!$I$111:$M$111</c:f>
              <c:numCache>
                <c:formatCode>General</c:formatCode>
                <c:ptCount val="5"/>
                <c:pt idx="0">
                  <c:v>3.85634367623114</c:v>
                </c:pt>
                <c:pt idx="1">
                  <c:v>4.21299671260619</c:v>
                </c:pt>
                <c:pt idx="2">
                  <c:v>4.75947711600156</c:v>
                </c:pt>
                <c:pt idx="3">
                  <c:v>5.37407283914113</c:v>
                </c:pt>
                <c:pt idx="4">
                  <c:v>5.77213421925601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9207047"/>
        <c:axId val="495676596"/>
      </c:scatterChart>
      <c:valAx>
        <c:axId val="449207047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sz="105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1/T</a:t>
                </a:r>
                <a:endParaRPr lang="en-US" altLang="zh-CN" sz="1050" b="1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495676596"/>
        <c:crosses val="autoZero"/>
        <c:crossBetween val="midCat"/>
      </c:valAx>
      <c:valAx>
        <c:axId val="495676596"/>
        <c:scaling>
          <c:orientation val="minMax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sz="105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K</a:t>
                </a:r>
                <a:r>
                  <a:rPr lang="en-US" altLang="zh-CN" sz="1050" b="1" baseline="-2500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c</a:t>
                </a:r>
                <a:endParaRPr lang="en-US" altLang="zh-CN" sz="1050" b="1" baseline="-25000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449207047"/>
        <c:crosses val="autoZero"/>
        <c:crossBetween val="midCat"/>
      </c:valAx>
      <c:spPr>
        <a:noFill/>
        <a:ln w="12700" cap="flat" cmpd="sng" algn="ctr">
          <a:solidFill>
            <a:schemeClr val="tx1"/>
          </a:solidFill>
          <a:round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5e6d602-996a-4f59-aa34-6915d065c55e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050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17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 w="19050" cap="rnd">
        <a:noFill/>
        <a:round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dk1"/>
    </cs:fontRef>
    <cs:spPr>
      <a:ln w="9525">
        <a:solidFill>
          <a:schemeClr val="phClr"/>
        </a:solidFill>
      </a:ln>
      <a:effectLst/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17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 w="19050" cap="rnd">
        <a:noFill/>
        <a:round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dk1"/>
    </cs:fontRef>
    <cs:spPr>
      <a:ln w="9525">
        <a:solidFill>
          <a:schemeClr val="phClr"/>
        </a:solidFill>
      </a:ln>
      <a:effectLst/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827</Words>
  <Characters>4856</Characters>
  <Lines>0</Lines>
  <Paragraphs>0</Paragraphs>
  <TotalTime>2</TotalTime>
  <ScaleCrop>false</ScaleCrop>
  <LinksUpToDate>false</LinksUpToDate>
  <CharactersWithSpaces>6028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2026-06-01T09:28:00Z</dcterms:created>
  <dc:creator>WPS_1625138655</dc:creator>
  <cp:lastModifiedBy>WPS_1625138655</cp:lastModifiedBy>
  <dcterms:modified xsi:type="dcterms:W3CDTF">2026-07-23T03:46:58Z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6888BB8CFC75435B995B7272C0FFA584_13</vt:lpwstr>
  </property>
  <property fmtid="{D5CDD505-2E9C-101B-9397-08002B2CF9AE}" pid="4" name="KSOTemplateDocerSaveRecord">
    <vt:lpwstr>eyJoZGlkIjoiOGI2YTkwZjkxY2M1NDZhNmVmNDhlNDA0NGFiYTEzNjkiLCJ1c2VySWQiOiIxMjI2NTgyMDI2In0=</vt:lpwstr>
  </property>
</Properties>
</file>