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F0C04" w14:textId="77777777" w:rsidR="002732DD" w:rsidRDefault="00000000">
      <w:pPr>
        <w:jc w:val="center"/>
      </w:pPr>
      <w:r>
        <w:rPr>
          <w:b/>
          <w:sz w:val="32"/>
        </w:rPr>
        <w:t>Supplementary material</w:t>
      </w:r>
    </w:p>
    <w:p w14:paraId="097E0FE7" w14:textId="22CC3A73" w:rsidR="007540BA" w:rsidRPr="007540BA" w:rsidRDefault="00610913">
      <w:pPr>
        <w:jc w:val="center"/>
        <w:rPr>
          <w:i/>
          <w:iCs/>
          <w:lang w:eastAsia="zh-CN"/>
        </w:rPr>
      </w:pPr>
      <w:r w:rsidRPr="00610913">
        <w:rPr>
          <w:i/>
          <w:iCs/>
          <w:lang w:eastAsia="zh-CN"/>
        </w:rPr>
        <w:t>Probabilistic assessment of windblown sand hazard across a desert photovoltaic site using terrain-downscaled reanalysis wind</w:t>
      </w:r>
      <w:r w:rsidR="007540BA">
        <w:rPr>
          <w:i/>
          <w:iCs/>
          <w:lang w:eastAsia="zh-CN"/>
        </w:rPr>
        <w:t>s</w:t>
      </w:r>
    </w:p>
    <w:p w14:paraId="2FEB09B6" w14:textId="32D30FEE" w:rsidR="002732DD" w:rsidRPr="00982A4F" w:rsidRDefault="00000000">
      <w:pPr>
        <w:pStyle w:val="1"/>
        <w:rPr>
          <w:rFonts w:eastAsia="宋体" w:hint="eastAsia"/>
          <w:lang w:eastAsia="zh-CN"/>
        </w:rPr>
      </w:pPr>
      <w:r>
        <w:t>Figure S1.</w:t>
      </w:r>
    </w:p>
    <w:p w14:paraId="66E05D9C" w14:textId="77777777" w:rsidR="002732DD" w:rsidRDefault="00000000">
      <w:r>
        <w:rPr>
          <w:noProof/>
        </w:rPr>
        <w:drawing>
          <wp:inline distT="0" distB="0" distL="0" distR="0" wp14:anchorId="54A15432" wp14:editId="4C27DF73">
            <wp:extent cx="6080760" cy="32437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-wind_validation_combin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24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42959" w14:textId="1B766DA8" w:rsidR="002732DD" w:rsidRDefault="00000000" w:rsidP="007540BA">
      <w:r>
        <w:t xml:space="preserve">Figure S1. Comparison of the meteorological mast and ERA5 at the mast location from 1 March 2021 to 28 February 2022: (a) wind-direction frequency; (b) monthly mean wind speed. </w:t>
      </w:r>
    </w:p>
    <w:p w14:paraId="2B6328F4" w14:textId="18486B99" w:rsidR="002732DD" w:rsidRPr="00982A4F" w:rsidRDefault="00000000" w:rsidP="007540BA">
      <w:pPr>
        <w:pStyle w:val="1"/>
        <w:rPr>
          <w:rFonts w:eastAsia="宋体" w:hint="eastAsia"/>
          <w:lang w:eastAsia="zh-CN"/>
        </w:rPr>
      </w:pPr>
      <w:r>
        <w:t>Figure S2.</w:t>
      </w:r>
    </w:p>
    <w:p w14:paraId="1626E884" w14:textId="77777777" w:rsidR="002732DD" w:rsidRDefault="00000000" w:rsidP="007540BA">
      <w:pPr>
        <w:jc w:val="center"/>
      </w:pPr>
      <w:r>
        <w:rPr>
          <w:noProof/>
        </w:rPr>
        <w:drawing>
          <wp:inline distT="0" distB="0" distL="0" distR="0" wp14:anchorId="30B41E16" wp14:editId="06D11D48">
            <wp:extent cx="3124200" cy="2705781"/>
            <wp:effectExtent l="0" t="0" r="0" b="0"/>
            <wp:docPr id="4" name="Picture 4" descr="Modelled 10 m wind-speed field at Askervein Hill with labelled terrain-elevation cont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S4_askervein_wind_speed_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32079" cy="271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2DB8E" w14:textId="77777777" w:rsidR="002732DD" w:rsidRDefault="00000000" w:rsidP="007540BA">
      <w:r>
        <w:t>Figure S2. Modelled 10 m wind-speed field for Askervein case MF03-D/TU03B on the 43 m output grid under an upstream reference wind of 8.9 m s</w:t>
      </w:r>
      <w:r>
        <w:rPr>
          <w:vertAlign w:val="superscript"/>
        </w:rPr>
        <w:t>−1</w:t>
      </w:r>
      <w:r>
        <w:t xml:space="preserve"> from 210°. Coordinates are relative to the hill centre point (CP). Dark labelled contours show terrain elevation at 50 m intervals.</w:t>
      </w:r>
    </w:p>
    <w:p w14:paraId="019DBAFE" w14:textId="20007742" w:rsidR="002732DD" w:rsidRPr="00982A4F" w:rsidRDefault="00000000">
      <w:pPr>
        <w:pStyle w:val="1"/>
        <w:rPr>
          <w:rFonts w:eastAsia="宋体" w:hint="eastAsia"/>
          <w:lang w:eastAsia="zh-CN"/>
        </w:rPr>
      </w:pPr>
      <w:r>
        <w:lastRenderedPageBreak/>
        <w:t>Figure S3.</w:t>
      </w:r>
    </w:p>
    <w:p w14:paraId="1B1B650A" w14:textId="77777777" w:rsidR="002732DD" w:rsidRDefault="00000000">
      <w:r>
        <w:rPr>
          <w:noProof/>
        </w:rPr>
        <w:drawing>
          <wp:inline distT="0" distB="0" distL="0" distR="0" wp14:anchorId="6F5EB8F2" wp14:editId="1FEA057E">
            <wp:extent cx="6080760" cy="551413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-02-_representative_wind_field_3d_dem_dimensionles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5514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FDE0B" w14:textId="77777777" w:rsidR="002732DD" w:rsidRDefault="00000000" w:rsidP="007540BA">
      <w:r>
        <w:t>Figure S3. Downscaled-to-input 10 m wind-speed ratio at 12:00 on 7 December 2023 over the 12 × 12 km dune window. ERA5 input was 11.62 m s</w:t>
      </w:r>
      <w:r>
        <w:rPr>
          <w:vertAlign w:val="superscript"/>
        </w:rPr>
        <w:t>−1</w:t>
      </w:r>
      <w:r>
        <w:t xml:space="preserve"> from 249.35°. Values above and below 1 denote terrain-induced acceleration and deceleration, respectively.</w:t>
      </w:r>
    </w:p>
    <w:p w14:paraId="66F60DD2" w14:textId="10DB1C73" w:rsidR="002732DD" w:rsidRPr="00982A4F" w:rsidRDefault="00000000">
      <w:pPr>
        <w:pStyle w:val="1"/>
        <w:rPr>
          <w:rFonts w:eastAsia="宋体" w:hint="eastAsia"/>
          <w:lang w:eastAsia="zh-CN"/>
        </w:rPr>
      </w:pPr>
      <w:r>
        <w:t>Figure S4.</w:t>
      </w:r>
    </w:p>
    <w:p w14:paraId="087D0DDE" w14:textId="77777777" w:rsidR="002732DD" w:rsidRDefault="00000000">
      <w:r>
        <w:rPr>
          <w:noProof/>
        </w:rPr>
        <w:drawing>
          <wp:inline distT="0" distB="0" distL="0" distR="0" wp14:anchorId="6FE163B3" wp14:editId="34BABB52">
            <wp:extent cx="6080760" cy="161781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s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1617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9ADFA" w14:textId="77777777" w:rsidR="002732DD" w:rsidRDefault="00000000" w:rsidP="007540BA">
      <w:r>
        <w:t>Figure S4. Dependence of (a) annual FP, (b) annual RFP, and (c) FDV on normalized height for 2976 valid cells in the representative dune. Lines are slope-specific medians and shading is the interquartile range (</w:t>
      </w:r>
      <w:r>
        <w:rPr>
          <w:i/>
          <w:iCs/>
        </w:rPr>
        <w:t>Q</w:t>
      </w:r>
      <w:r>
        <w:rPr>
          <w:vertAlign w:val="subscript"/>
        </w:rPr>
        <w:t>25</w:t>
      </w:r>
      <w:r>
        <w:t>–</w:t>
      </w:r>
      <w:r>
        <w:rPr>
          <w:i/>
          <w:iCs/>
        </w:rPr>
        <w:t>Q</w:t>
      </w:r>
      <w:r>
        <w:rPr>
          <w:vertAlign w:val="subscript"/>
        </w:rPr>
        <w:t>75</w:t>
      </w:r>
      <w:r>
        <w:t>). The south slope is windward for the prevailing 245° incoming-wind sector.</w:t>
      </w:r>
    </w:p>
    <w:p w14:paraId="7CE42FBA" w14:textId="4BB7CC2E" w:rsidR="002732DD" w:rsidRPr="00982A4F" w:rsidRDefault="00000000">
      <w:pPr>
        <w:pStyle w:val="1"/>
        <w:pageBreakBefore/>
        <w:rPr>
          <w:rFonts w:eastAsia="宋体" w:hint="eastAsia"/>
          <w:lang w:eastAsia="zh-CN"/>
        </w:rPr>
      </w:pPr>
      <w:r>
        <w:lastRenderedPageBreak/>
        <w:t>Figure S5.</w:t>
      </w:r>
    </w:p>
    <w:p w14:paraId="5907DF97" w14:textId="77777777" w:rsidR="002732DD" w:rsidRDefault="00000000" w:rsidP="007540BA">
      <w:r>
        <w:rPr>
          <w:noProof/>
        </w:rPr>
        <w:drawing>
          <wp:inline distT="0" distB="0" distL="0" distR="0" wp14:anchorId="7AB104D7" wp14:editId="741393F4">
            <wp:extent cx="6080760" cy="22502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array_activity_class_density_appendix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25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988C9" w14:textId="3249C1D0" w:rsidR="002732DD" w:rsidRDefault="00000000" w:rsidP="007540BA">
      <w:r>
        <w:t xml:space="preserve">Figure S5. Class-specific annual FP probability-density structures: (a) Class I; (b) Class III; and (c) Class V. Within each panel, subarrays are ordered by </w:t>
      </w:r>
      <w:r>
        <w:rPr>
          <w:i/>
          <w:iCs/>
        </w:rPr>
        <w:t>P</w:t>
      </w:r>
      <w:r>
        <w:rPr>
          <w:vertAlign w:val="subscript"/>
        </w:rPr>
        <w:t>50</w:t>
      </w:r>
      <w:r>
        <w:t xml:space="preserve"> and </w:t>
      </w:r>
      <w:r>
        <w:rPr>
          <w:i/>
          <w:iCs/>
        </w:rPr>
        <w:t>q</w:t>
      </w:r>
      <w:r>
        <w:rPr>
          <w:vertAlign w:val="subscript"/>
        </w:rPr>
        <w:t>k</w:t>
      </w:r>
      <w:r>
        <w:t xml:space="preserve"> denotes the empirical within-class quantile. Color intensity represents annual FP density; solid lines denote </w:t>
      </w:r>
      <w:r>
        <w:rPr>
          <w:i/>
          <w:iCs/>
        </w:rPr>
        <w:t>P</w:t>
      </w:r>
      <w:r>
        <w:rPr>
          <w:vertAlign w:val="subscript"/>
        </w:rPr>
        <w:t>50</w:t>
      </w:r>
      <w:r>
        <w:t xml:space="preserve"> and dashed lines denote </w:t>
      </w:r>
      <w:r>
        <w:rPr>
          <w:i/>
          <w:iCs/>
        </w:rPr>
        <w:t>P</w:t>
      </w:r>
      <w:r>
        <w:rPr>
          <w:vertAlign w:val="subscript"/>
        </w:rPr>
        <w:t>05</w:t>
      </w:r>
      <w:r>
        <w:t>-</w:t>
      </w:r>
      <w:r>
        <w:rPr>
          <w:i/>
          <w:iCs/>
        </w:rPr>
        <w:t>P</w:t>
      </w:r>
      <w:r>
        <w:rPr>
          <w:vertAlign w:val="subscript"/>
        </w:rPr>
        <w:t>95</w:t>
      </w:r>
      <w:r>
        <w:t>.</w:t>
      </w:r>
    </w:p>
    <w:sectPr w:rsidR="002732DD" w:rsidSect="00034616">
      <w:pgSz w:w="11906" w:h="16838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D305E" w14:textId="77777777" w:rsidR="00E8701F" w:rsidRDefault="00E8701F" w:rsidP="00982A4F">
      <w:pPr>
        <w:spacing w:after="0" w:line="240" w:lineRule="auto"/>
      </w:pPr>
      <w:r>
        <w:separator/>
      </w:r>
    </w:p>
  </w:endnote>
  <w:endnote w:type="continuationSeparator" w:id="0">
    <w:p w14:paraId="78D2D9E3" w14:textId="77777777" w:rsidR="00E8701F" w:rsidRDefault="00E8701F" w:rsidP="00982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C51B1" w14:textId="77777777" w:rsidR="00E8701F" w:rsidRDefault="00E8701F" w:rsidP="00982A4F">
      <w:pPr>
        <w:spacing w:after="0" w:line="240" w:lineRule="auto"/>
      </w:pPr>
      <w:r>
        <w:separator/>
      </w:r>
    </w:p>
  </w:footnote>
  <w:footnote w:type="continuationSeparator" w:id="0">
    <w:p w14:paraId="6883F511" w14:textId="77777777" w:rsidR="00E8701F" w:rsidRDefault="00E8701F" w:rsidP="00982A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3671193">
    <w:abstractNumId w:val="8"/>
  </w:num>
  <w:num w:numId="2" w16cid:durableId="902374965">
    <w:abstractNumId w:val="6"/>
  </w:num>
  <w:num w:numId="3" w16cid:durableId="983513017">
    <w:abstractNumId w:val="5"/>
  </w:num>
  <w:num w:numId="4" w16cid:durableId="1689677081">
    <w:abstractNumId w:val="4"/>
  </w:num>
  <w:num w:numId="5" w16cid:durableId="758672452">
    <w:abstractNumId w:val="7"/>
  </w:num>
  <w:num w:numId="6" w16cid:durableId="1420443896">
    <w:abstractNumId w:val="3"/>
  </w:num>
  <w:num w:numId="7" w16cid:durableId="2049646784">
    <w:abstractNumId w:val="2"/>
  </w:num>
  <w:num w:numId="8" w16cid:durableId="1822312644">
    <w:abstractNumId w:val="1"/>
  </w:num>
  <w:num w:numId="9" w16cid:durableId="1061294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5B25"/>
    <w:rsid w:val="0006063C"/>
    <w:rsid w:val="0015074B"/>
    <w:rsid w:val="002732DD"/>
    <w:rsid w:val="0029639D"/>
    <w:rsid w:val="00326F90"/>
    <w:rsid w:val="00610913"/>
    <w:rsid w:val="007540BA"/>
    <w:rsid w:val="00833D9C"/>
    <w:rsid w:val="00982A4F"/>
    <w:rsid w:val="00A566E7"/>
    <w:rsid w:val="00AA1D8D"/>
    <w:rsid w:val="00B47730"/>
    <w:rsid w:val="00CB0664"/>
    <w:rsid w:val="00E870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2CC329"/>
  <w14:defaultImageDpi w14:val="300"/>
  <w15:docId w15:val="{27F1CF0A-33F6-8C40-8F90-A5E7F6C17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69" w:lineRule="auto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 for Hourly probabilistic assessment of sand-drift potential in a desert photovoltaic site using terrain-downscaled reanalysis winds</dc:title>
  <dc:subject/>
  <dc:creator>python-docx</dc:creator>
  <cp:keywords/>
  <dc:description>generated by python-docx</dc:description>
  <cp:lastModifiedBy>S Li</cp:lastModifiedBy>
  <cp:revision>4</cp:revision>
  <cp:lastPrinted>2026-08-10T06:54:00Z</cp:lastPrinted>
  <dcterms:created xsi:type="dcterms:W3CDTF">2013-12-23T23:15:00Z</dcterms:created>
  <dcterms:modified xsi:type="dcterms:W3CDTF">2026-08-10T06:56:00Z</dcterms:modified>
  <cp:category/>
</cp:coreProperties>
</file>