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6484E" w14:textId="107730D3" w:rsidR="00AB1175" w:rsidRDefault="00000000">
      <w:pPr>
        <w:pStyle w:val="Heading1"/>
      </w:pPr>
      <w:bookmarkStart w:id="0" w:name="supplementary-material"/>
      <w:r>
        <w:t>Additional file 1. Supplementary material</w:t>
      </w:r>
    </w:p>
    <w:p w14:paraId="1860BA0C" w14:textId="77777777" w:rsidR="00AB1175" w:rsidRDefault="00000000">
      <w:pPr>
        <w:pStyle w:val="FirstParagraph"/>
      </w:pPr>
      <w:r>
        <w:t>Spatial Transcriptomics of Schizophrenia Insular Cortex Reveals Blood-Brain Barrier Hyperglycolysis and Increased Parenchymal Mitochondrial Respiration</w:t>
      </w:r>
    </w:p>
    <w:p w14:paraId="51CE0C71" w14:textId="77777777" w:rsidR="00AB1175" w:rsidRPr="006A2B8C" w:rsidRDefault="00000000">
      <w:pPr>
        <w:pStyle w:val="BodyText"/>
        <w:rPr>
          <w:lang w:val="nl-NL"/>
        </w:rPr>
      </w:pPr>
      <w:r w:rsidRPr="006A2B8C">
        <w:rPr>
          <w:lang w:val="nl-NL"/>
        </w:rPr>
        <w:t>Huizer K, Tran T, van Dis V, Bakker PR, Claesen M, Nijman I, Geene R, van Beveren NJM, Mustafa DAM</w:t>
      </w:r>
    </w:p>
    <w:p w14:paraId="68C019B9" w14:textId="77777777" w:rsidR="00AB1175" w:rsidRDefault="00000000">
      <w:pPr>
        <w:pStyle w:val="Heading2"/>
      </w:pPr>
      <w:bookmarkStart w:id="1" w:name="contents"/>
      <w:r>
        <w:t>Contents</w:t>
      </w:r>
    </w:p>
    <w:p w14:paraId="6FE1996A" w14:textId="0CE4649D" w:rsidR="006A2B8C" w:rsidRPr="00E2674A" w:rsidRDefault="00000000">
      <w:pPr>
        <w:pStyle w:val="Heading2"/>
        <w:rPr>
          <w:b w:val="0"/>
          <w:bCs w:val="0"/>
        </w:rPr>
      </w:pPr>
      <w:r w:rsidRPr="00E2674A">
        <w:rPr>
          <w:b w:val="0"/>
          <w:bCs w:val="0"/>
        </w:rPr>
        <w:t>Supplementary Results 1: Functional annotation of large-effect BBB genes</w:t>
      </w:r>
    </w:p>
    <w:p w14:paraId="0B1271F5" w14:textId="3E7AED0A" w:rsidR="006A2B8C" w:rsidRPr="00E2674A" w:rsidRDefault="00000000">
      <w:pPr>
        <w:pStyle w:val="Heading2"/>
        <w:rPr>
          <w:b w:val="0"/>
          <w:bCs w:val="0"/>
        </w:rPr>
      </w:pPr>
      <w:r w:rsidRPr="00E2674A">
        <w:rPr>
          <w:b w:val="0"/>
          <w:bCs w:val="0"/>
        </w:rPr>
        <w:t>Supplementary Table 1: BBB genes at |Log₂FC| ≥1.0</w:t>
      </w:r>
    </w:p>
    <w:p w14:paraId="7282D178" w14:textId="321A3D1B" w:rsidR="006A2B8C" w:rsidRPr="00E2674A" w:rsidRDefault="00000000">
      <w:pPr>
        <w:pStyle w:val="Heading2"/>
        <w:rPr>
          <w:b w:val="0"/>
          <w:bCs w:val="0"/>
        </w:rPr>
      </w:pPr>
      <w:r w:rsidRPr="00E2674A">
        <w:rPr>
          <w:b w:val="0"/>
          <w:bCs w:val="0"/>
        </w:rPr>
        <w:t>Supplementary Results 2: Hypoxia confounder analysis</w:t>
      </w:r>
    </w:p>
    <w:p w14:paraId="2CA7C3C5" w14:textId="7A361157" w:rsidR="00AB1175" w:rsidRPr="00E2674A" w:rsidRDefault="00000000">
      <w:pPr>
        <w:pStyle w:val="Heading2"/>
        <w:rPr>
          <w:b w:val="0"/>
          <w:bCs w:val="0"/>
        </w:rPr>
      </w:pPr>
      <w:r w:rsidRPr="00E2674A">
        <w:rPr>
          <w:b w:val="0"/>
          <w:bCs w:val="0"/>
        </w:rPr>
        <w:t>Supplementary Table 2: Glucose and lactate transporters in BBB and parenchyma</w:t>
      </w:r>
    </w:p>
    <w:p w14:paraId="151A25F3" w14:textId="77777777" w:rsidR="00AB1175" w:rsidRPr="00E2674A" w:rsidRDefault="00000000">
      <w:pPr>
        <w:pStyle w:val="Heading2"/>
        <w:rPr>
          <w:b w:val="0"/>
          <w:bCs w:val="0"/>
        </w:rPr>
      </w:pPr>
      <w:r w:rsidRPr="00E2674A">
        <w:rPr>
          <w:b w:val="0"/>
          <w:bCs w:val="0"/>
        </w:rPr>
        <w:t>Supplementary References</w:t>
      </w:r>
    </w:p>
    <w:p w14:paraId="33897A6D" w14:textId="7E02A97C" w:rsidR="00AB1175" w:rsidRDefault="00000000">
      <w:pPr>
        <w:pStyle w:val="Heading2"/>
      </w:pPr>
      <w:bookmarkStart w:id="2" w:name="X763695ad79690739c415767bf0bd744b596d58d"/>
      <w:bookmarkEnd w:id="1"/>
      <w:r>
        <w:t>Supplementary Results 1</w:t>
      </w:r>
      <w:r w:rsidR="00E2674A">
        <w:t>:</w:t>
      </w:r>
      <w:r>
        <w:t xml:space="preserve"> Functional annotation of large-effect BBB genes</w:t>
      </w:r>
    </w:p>
    <w:p w14:paraId="3C2A7DC4" w14:textId="77777777" w:rsidR="00AB1175" w:rsidRDefault="00000000">
      <w:pPr>
        <w:pStyle w:val="FirstParagraph"/>
      </w:pPr>
      <w:r>
        <w:t>Six genes reached |Log₂FC| ≥1.0 in the blood-brain barrier (BBB), all lower in schizophrenia spectrum disorder (SSD) (Supplementary Table 1). All are nominally significant only, none reaching FDR-corrected significance, and are described solely to characterise the gene-level signal underlying the pathway results.</w:t>
      </w:r>
    </w:p>
    <w:p w14:paraId="45279DB2" w14:textId="77777777" w:rsidR="00AB1175" w:rsidRDefault="00000000">
      <w:pPr>
        <w:pStyle w:val="BodyText"/>
      </w:pPr>
      <w:r>
        <w:t xml:space="preserve">Three relate to barrier structural integrity: </w:t>
      </w:r>
      <w:r>
        <w:rPr>
          <w:i/>
          <w:iCs/>
        </w:rPr>
        <w:t>P4HA1</w:t>
      </w:r>
      <w:r>
        <w:t xml:space="preserve">, a prolyl hydroxylase required for basement membrane collagen synthesis; </w:t>
      </w:r>
      <w:r>
        <w:rPr>
          <w:i/>
          <w:iCs/>
        </w:rPr>
        <w:t>ARHGAP27</w:t>
      </w:r>
      <w:r>
        <w:t xml:space="preserve">, a Rho GTPase-activating protein involved in tight junction assembly and endothelial cytoskeletal dynamics; and </w:t>
      </w:r>
      <w:r>
        <w:rPr>
          <w:i/>
          <w:iCs/>
        </w:rPr>
        <w:t>IGFBP3</w:t>
      </w:r>
      <w:r>
        <w:t xml:space="preserve">, a modulator of IGF-1 signalling with roles in vascular maintenance. One relates to immune regulation: </w:t>
      </w:r>
      <w:r>
        <w:rPr>
          <w:i/>
          <w:iCs/>
        </w:rPr>
        <w:t>TNFRSF6B</w:t>
      </w:r>
      <w:r>
        <w:t xml:space="preserve"> (DcR3), a soluble decoy receptor sequestering FasL, LIGHT and TL1A. One relates to mitochondrial function: </w:t>
      </w:r>
      <w:r>
        <w:rPr>
          <w:i/>
          <w:iCs/>
        </w:rPr>
        <w:t>FAM210A</w:t>
      </w:r>
      <w:r>
        <w:t xml:space="preserve">, involved in mitochondrial translation and respiratory chain assembly. </w:t>
      </w:r>
      <w:r>
        <w:rPr>
          <w:i/>
          <w:iCs/>
        </w:rPr>
        <w:t>DRC3</w:t>
      </w:r>
      <w:r>
        <w:t>, a dynein regulatory complex subunit, has no established barrier function.</w:t>
      </w:r>
    </w:p>
    <w:p w14:paraId="1BD9992C" w14:textId="6256FDFD" w:rsidR="00AB1175" w:rsidRDefault="00000000">
      <w:pPr>
        <w:pStyle w:val="BodyText"/>
      </w:pPr>
      <w:r>
        <w:t xml:space="preserve">Taken together these could be read as structural and immunological compromise of the BBB in SSD, but the reading is speculative and untested. </w:t>
      </w:r>
      <w:r>
        <w:rPr>
          <w:i/>
          <w:iCs/>
        </w:rPr>
        <w:t>FAM210A</w:t>
      </w:r>
      <w:r>
        <w:t xml:space="preserve"> is the only mitochondrial gene among the six, and no mitochondrial pathway was enriched in the BBB, so its reduction does not support mitochondrial suppression in the BBB; the BBB signal is glycolytic.</w:t>
      </w:r>
    </w:p>
    <w:p w14:paraId="3A01F00E" w14:textId="5991287A" w:rsidR="00AB1175" w:rsidRDefault="00000000">
      <w:pPr>
        <w:pStyle w:val="Heading2"/>
      </w:pPr>
      <w:bookmarkStart w:id="3" w:name="Xa9122e7b3d403e067cc0dc8a73c4372a8c4737b"/>
      <w:r>
        <w:t>Supplementary Table 1: BBB genes at |Log₂FC| ≥1.0</w:t>
      </w:r>
    </w:p>
    <w:p w14:paraId="77632997" w14:textId="77777777" w:rsidR="00AB1175" w:rsidRDefault="00000000">
      <w:pPr>
        <w:pStyle w:val="FirstParagraph"/>
      </w:pPr>
      <w:r>
        <w:t>All six are lower in SSD. All nominally significant only; none reached FDR-corrected significance.</w:t>
      </w:r>
    </w:p>
    <w:tbl>
      <w:tblPr>
        <w:tblStyle w:val="Table"/>
        <w:tblW w:w="5000" w:type="pct"/>
        <w:tblBorders>
          <w:top w:val="single" w:sz="8" w:space="0" w:color="auto"/>
          <w:bottom w:val="single" w:sz="8" w:space="0" w:color="auto"/>
        </w:tblBorders>
        <w:tblLook w:val="0020" w:firstRow="1" w:lastRow="0" w:firstColumn="0" w:lastColumn="0" w:noHBand="0" w:noVBand="0"/>
      </w:tblPr>
      <w:tblGrid>
        <w:gridCol w:w="1328"/>
        <w:gridCol w:w="975"/>
        <w:gridCol w:w="1280"/>
        <w:gridCol w:w="5777"/>
      </w:tblGrid>
      <w:tr w:rsidR="00AB1175" w14:paraId="4AB8E94A" w14:textId="77777777" w:rsidTr="00AB11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shd w:val="clear" w:color="auto" w:fill="D9D9D9"/>
          </w:tcPr>
          <w:p w14:paraId="323F8443" w14:textId="77777777" w:rsidR="00AB1175" w:rsidRDefault="00000000">
            <w:pPr>
              <w:pStyle w:val="Compact"/>
            </w:pPr>
            <w:r>
              <w:rPr>
                <w:b/>
              </w:rPr>
              <w:lastRenderedPageBreak/>
              <w:t>Gene</w:t>
            </w:r>
          </w:p>
        </w:tc>
        <w:tc>
          <w:tcPr>
            <w:tcW w:w="0" w:type="auto"/>
            <w:shd w:val="clear" w:color="auto" w:fill="D9D9D9"/>
          </w:tcPr>
          <w:p w14:paraId="49C1C24D" w14:textId="2F82D5A7" w:rsidR="00AB1175" w:rsidRDefault="00000000">
            <w:pPr>
              <w:pStyle w:val="Compact"/>
            </w:pPr>
            <w:r>
              <w:rPr>
                <w:b/>
              </w:rPr>
              <w:t>Log</w:t>
            </w:r>
            <w:r>
              <w:rPr>
                <w:b/>
                <w:vertAlign w:val="subscript"/>
              </w:rPr>
              <w:t>2</w:t>
            </w:r>
            <w:r>
              <w:rPr>
                <w:b/>
              </w:rPr>
              <w:t>FC</w:t>
            </w:r>
          </w:p>
        </w:tc>
        <w:tc>
          <w:tcPr>
            <w:tcW w:w="0" w:type="auto"/>
            <w:shd w:val="clear" w:color="auto" w:fill="D9D9D9"/>
          </w:tcPr>
          <w:p w14:paraId="2947D426" w14:textId="494B3957" w:rsidR="00AB1175" w:rsidRDefault="00000000">
            <w:pPr>
              <w:pStyle w:val="Compact"/>
            </w:pPr>
            <w:r>
              <w:rPr>
                <w:b/>
                <w:i/>
                <w:iCs/>
              </w:rPr>
              <w:t>Nominal P</w:t>
            </w:r>
          </w:p>
        </w:tc>
        <w:tc>
          <w:tcPr>
            <w:tcW w:w="0" w:type="auto"/>
            <w:shd w:val="clear" w:color="auto" w:fill="D9D9D9"/>
          </w:tcPr>
          <w:p w14:paraId="43A276EB" w14:textId="77777777" w:rsidR="00AB1175" w:rsidRDefault="00000000">
            <w:pPr>
              <w:pStyle w:val="Compact"/>
            </w:pPr>
            <w:r>
              <w:rPr>
                <w:b/>
              </w:rPr>
              <w:t>Annotation</w:t>
            </w:r>
          </w:p>
        </w:tc>
      </w:tr>
      <w:tr w:rsidR="00AB1175" w14:paraId="4F626C63" w14:textId="77777777">
        <w:tc>
          <w:tcPr>
            <w:tcW w:w="0" w:type="auto"/>
          </w:tcPr>
          <w:p w14:paraId="32DAA682" w14:textId="77777777" w:rsidR="00AB1175" w:rsidRDefault="00000000">
            <w:pPr>
              <w:pStyle w:val="Compact"/>
            </w:pPr>
            <w:r>
              <w:rPr>
                <w:i/>
                <w:iCs/>
              </w:rPr>
              <w:t>TNFRSF6B</w:t>
            </w:r>
          </w:p>
        </w:tc>
        <w:tc>
          <w:tcPr>
            <w:tcW w:w="0" w:type="auto"/>
          </w:tcPr>
          <w:p w14:paraId="09328EEA" w14:textId="77777777" w:rsidR="00AB1175" w:rsidRDefault="00000000">
            <w:pPr>
              <w:pStyle w:val="Compact"/>
            </w:pPr>
            <w:r>
              <w:t>+1.373</w:t>
            </w:r>
          </w:p>
        </w:tc>
        <w:tc>
          <w:tcPr>
            <w:tcW w:w="0" w:type="auto"/>
          </w:tcPr>
          <w:p w14:paraId="73A157A2" w14:textId="77777777" w:rsidR="00AB1175" w:rsidRDefault="00000000">
            <w:pPr>
              <w:pStyle w:val="Compact"/>
            </w:pPr>
            <w:r>
              <w:t>.014</w:t>
            </w:r>
          </w:p>
        </w:tc>
        <w:tc>
          <w:tcPr>
            <w:tcW w:w="0" w:type="auto"/>
          </w:tcPr>
          <w:p w14:paraId="0FABDDA3" w14:textId="77777777" w:rsidR="00AB1175" w:rsidRDefault="00000000">
            <w:pPr>
              <w:pStyle w:val="Compact"/>
            </w:pPr>
            <w:r>
              <w:t>Decoy receptor 3, sequesters FasL, LIGHT, TL1A</w:t>
            </w:r>
          </w:p>
        </w:tc>
      </w:tr>
      <w:tr w:rsidR="00AB1175" w14:paraId="16C53281" w14:textId="77777777">
        <w:tc>
          <w:tcPr>
            <w:tcW w:w="0" w:type="auto"/>
          </w:tcPr>
          <w:p w14:paraId="0DE4F852" w14:textId="77777777" w:rsidR="00AB1175" w:rsidRDefault="00000000">
            <w:pPr>
              <w:pStyle w:val="Compact"/>
            </w:pPr>
            <w:r>
              <w:rPr>
                <w:i/>
                <w:iCs/>
              </w:rPr>
              <w:t>IGFBP3</w:t>
            </w:r>
          </w:p>
        </w:tc>
        <w:tc>
          <w:tcPr>
            <w:tcW w:w="0" w:type="auto"/>
          </w:tcPr>
          <w:p w14:paraId="241719EA" w14:textId="77777777" w:rsidR="00AB1175" w:rsidRDefault="00000000">
            <w:pPr>
              <w:pStyle w:val="Compact"/>
            </w:pPr>
            <w:r>
              <w:t>+1.187</w:t>
            </w:r>
          </w:p>
        </w:tc>
        <w:tc>
          <w:tcPr>
            <w:tcW w:w="0" w:type="auto"/>
          </w:tcPr>
          <w:p w14:paraId="2549DB5C" w14:textId="77777777" w:rsidR="00AB1175" w:rsidRDefault="00000000">
            <w:pPr>
              <w:pStyle w:val="Compact"/>
            </w:pPr>
            <w:r>
              <w:t>.003</w:t>
            </w:r>
          </w:p>
        </w:tc>
        <w:tc>
          <w:tcPr>
            <w:tcW w:w="0" w:type="auto"/>
          </w:tcPr>
          <w:p w14:paraId="1D71187D" w14:textId="77777777" w:rsidR="00AB1175" w:rsidRDefault="00000000">
            <w:pPr>
              <w:pStyle w:val="Compact"/>
            </w:pPr>
            <w:r>
              <w:t>IGF-1 signalling modulator, vascular maintenance</w:t>
            </w:r>
          </w:p>
        </w:tc>
      </w:tr>
      <w:tr w:rsidR="00AB1175" w14:paraId="21A70B9A" w14:textId="77777777">
        <w:tc>
          <w:tcPr>
            <w:tcW w:w="0" w:type="auto"/>
          </w:tcPr>
          <w:p w14:paraId="262F3018" w14:textId="77777777" w:rsidR="00AB1175" w:rsidRDefault="00000000">
            <w:pPr>
              <w:pStyle w:val="Compact"/>
            </w:pPr>
            <w:r>
              <w:rPr>
                <w:i/>
                <w:iCs/>
              </w:rPr>
              <w:t>DRC3</w:t>
            </w:r>
          </w:p>
        </w:tc>
        <w:tc>
          <w:tcPr>
            <w:tcW w:w="0" w:type="auto"/>
          </w:tcPr>
          <w:p w14:paraId="7B54C927" w14:textId="77777777" w:rsidR="00AB1175" w:rsidRDefault="00000000">
            <w:pPr>
              <w:pStyle w:val="Compact"/>
            </w:pPr>
            <w:r>
              <w:t>+1.077</w:t>
            </w:r>
          </w:p>
        </w:tc>
        <w:tc>
          <w:tcPr>
            <w:tcW w:w="0" w:type="auto"/>
          </w:tcPr>
          <w:p w14:paraId="7EB5E576" w14:textId="77777777" w:rsidR="00AB1175" w:rsidRDefault="00000000">
            <w:pPr>
              <w:pStyle w:val="Compact"/>
            </w:pPr>
            <w:r>
              <w:t>.029</w:t>
            </w:r>
          </w:p>
        </w:tc>
        <w:tc>
          <w:tcPr>
            <w:tcW w:w="0" w:type="auto"/>
          </w:tcPr>
          <w:p w14:paraId="2330C94B" w14:textId="77777777" w:rsidR="00AB1175" w:rsidRDefault="00000000">
            <w:pPr>
              <w:pStyle w:val="Compact"/>
            </w:pPr>
            <w:r>
              <w:t>Dynein regulatory complex subunit, no established barrier role</w:t>
            </w:r>
          </w:p>
        </w:tc>
      </w:tr>
      <w:tr w:rsidR="00AB1175" w14:paraId="32C39DF5" w14:textId="77777777">
        <w:tc>
          <w:tcPr>
            <w:tcW w:w="0" w:type="auto"/>
          </w:tcPr>
          <w:p w14:paraId="2074E61E" w14:textId="77777777" w:rsidR="00AB1175" w:rsidRDefault="00000000">
            <w:pPr>
              <w:pStyle w:val="Compact"/>
            </w:pPr>
            <w:r>
              <w:rPr>
                <w:i/>
                <w:iCs/>
              </w:rPr>
              <w:t>ARHGAP27</w:t>
            </w:r>
          </w:p>
        </w:tc>
        <w:tc>
          <w:tcPr>
            <w:tcW w:w="0" w:type="auto"/>
          </w:tcPr>
          <w:p w14:paraId="3FACD834" w14:textId="77777777" w:rsidR="00AB1175" w:rsidRDefault="00000000">
            <w:pPr>
              <w:pStyle w:val="Compact"/>
            </w:pPr>
            <w:r>
              <w:t>+1.055</w:t>
            </w:r>
          </w:p>
        </w:tc>
        <w:tc>
          <w:tcPr>
            <w:tcW w:w="0" w:type="auto"/>
          </w:tcPr>
          <w:p w14:paraId="64EF0B6B" w14:textId="77777777" w:rsidR="00AB1175" w:rsidRDefault="00000000">
            <w:pPr>
              <w:pStyle w:val="Compact"/>
            </w:pPr>
            <w:r>
              <w:t>.012</w:t>
            </w:r>
          </w:p>
        </w:tc>
        <w:tc>
          <w:tcPr>
            <w:tcW w:w="0" w:type="auto"/>
          </w:tcPr>
          <w:p w14:paraId="4196017B" w14:textId="77777777" w:rsidR="00AB1175" w:rsidRDefault="00000000">
            <w:pPr>
              <w:pStyle w:val="Compact"/>
            </w:pPr>
            <w:r>
              <w:t>Rho GTPase-activating protein, tight junction assembly</w:t>
            </w:r>
          </w:p>
        </w:tc>
      </w:tr>
      <w:tr w:rsidR="00AB1175" w14:paraId="00C63483" w14:textId="77777777">
        <w:tc>
          <w:tcPr>
            <w:tcW w:w="0" w:type="auto"/>
          </w:tcPr>
          <w:p w14:paraId="158F846B" w14:textId="77777777" w:rsidR="00AB1175" w:rsidRDefault="00000000">
            <w:pPr>
              <w:pStyle w:val="Compact"/>
            </w:pPr>
            <w:r>
              <w:rPr>
                <w:i/>
                <w:iCs/>
              </w:rPr>
              <w:t>FAM210A</w:t>
            </w:r>
          </w:p>
        </w:tc>
        <w:tc>
          <w:tcPr>
            <w:tcW w:w="0" w:type="auto"/>
          </w:tcPr>
          <w:p w14:paraId="3DD7AA21" w14:textId="77777777" w:rsidR="00AB1175" w:rsidRDefault="00000000">
            <w:pPr>
              <w:pStyle w:val="Compact"/>
            </w:pPr>
            <w:r>
              <w:t>+1.030</w:t>
            </w:r>
          </w:p>
        </w:tc>
        <w:tc>
          <w:tcPr>
            <w:tcW w:w="0" w:type="auto"/>
          </w:tcPr>
          <w:p w14:paraId="15A682BE" w14:textId="77777777" w:rsidR="00AB1175" w:rsidRDefault="00000000">
            <w:pPr>
              <w:pStyle w:val="Compact"/>
            </w:pPr>
            <w:r>
              <w:t>.008</w:t>
            </w:r>
          </w:p>
        </w:tc>
        <w:tc>
          <w:tcPr>
            <w:tcW w:w="0" w:type="auto"/>
          </w:tcPr>
          <w:p w14:paraId="2FF262D4" w14:textId="77777777" w:rsidR="00AB1175" w:rsidRDefault="00000000">
            <w:pPr>
              <w:pStyle w:val="Compact"/>
            </w:pPr>
            <w:r>
              <w:t>Mitochondrial translation and respiratory chain assembly</w:t>
            </w:r>
          </w:p>
        </w:tc>
      </w:tr>
      <w:tr w:rsidR="00AB1175" w14:paraId="67666C51" w14:textId="77777777">
        <w:tc>
          <w:tcPr>
            <w:tcW w:w="0" w:type="auto"/>
          </w:tcPr>
          <w:p w14:paraId="4ED942BB" w14:textId="77777777" w:rsidR="00AB1175" w:rsidRDefault="00000000">
            <w:pPr>
              <w:pStyle w:val="Compact"/>
            </w:pPr>
            <w:r>
              <w:rPr>
                <w:i/>
                <w:iCs/>
              </w:rPr>
              <w:t>P4HA1</w:t>
            </w:r>
          </w:p>
        </w:tc>
        <w:tc>
          <w:tcPr>
            <w:tcW w:w="0" w:type="auto"/>
          </w:tcPr>
          <w:p w14:paraId="7FE1E22A" w14:textId="77777777" w:rsidR="00AB1175" w:rsidRDefault="00000000">
            <w:pPr>
              <w:pStyle w:val="Compact"/>
            </w:pPr>
            <w:r>
              <w:t>+1.024</w:t>
            </w:r>
          </w:p>
        </w:tc>
        <w:tc>
          <w:tcPr>
            <w:tcW w:w="0" w:type="auto"/>
          </w:tcPr>
          <w:p w14:paraId="17AE4F95" w14:textId="77777777" w:rsidR="00AB1175" w:rsidRDefault="00000000">
            <w:pPr>
              <w:pStyle w:val="Compact"/>
            </w:pPr>
            <w:r>
              <w:t>.023</w:t>
            </w:r>
          </w:p>
        </w:tc>
        <w:tc>
          <w:tcPr>
            <w:tcW w:w="0" w:type="auto"/>
          </w:tcPr>
          <w:p w14:paraId="152FD761" w14:textId="77777777" w:rsidR="00AB1175" w:rsidRDefault="00000000">
            <w:pPr>
              <w:pStyle w:val="Compact"/>
            </w:pPr>
            <w:r>
              <w:t>Prolyl 4-hydroxylase α1, basement membrane collagen, HIF-1 target</w:t>
            </w:r>
          </w:p>
        </w:tc>
      </w:tr>
    </w:tbl>
    <w:p w14:paraId="05D5E8DB" w14:textId="223BCA00" w:rsidR="00AB1175" w:rsidRDefault="00000000">
      <w:pPr>
        <w:pStyle w:val="Heading2"/>
      </w:pPr>
      <w:bookmarkStart w:id="4" w:name="Xb1010f655c3af329a10a14ead99c326a73125d3"/>
      <w:bookmarkEnd w:id="0"/>
      <w:bookmarkEnd w:id="2"/>
      <w:bookmarkEnd w:id="3"/>
      <w:r>
        <w:t>Supplementary Results 2</w:t>
      </w:r>
      <w:r w:rsidR="00E2674A">
        <w:t>:</w:t>
      </w:r>
      <w:r>
        <w:t xml:space="preserve"> Hypoxia confounder analysis</w:t>
      </w:r>
    </w:p>
    <w:p w14:paraId="7A52D20D" w14:textId="31A32C05" w:rsidR="00AB1175" w:rsidRDefault="00000000">
      <w:pPr>
        <w:pStyle w:val="FirstParagraph"/>
      </w:pPr>
      <w:r>
        <w:rPr>
          <w:i/>
          <w:iCs/>
        </w:rPr>
        <w:t xml:space="preserve">PFKFB3 </w:t>
      </w:r>
      <w:r w:rsidRPr="00BA700C">
        <w:t>is inducible by hypoxia through HIF-1 [5], raising the possibility that the BBB glycolytic signal reflects pre-mortem ischaemia rather than a chronic disease-related state.</w:t>
      </w:r>
      <w:r>
        <w:t xml:space="preserve"> Four observations argue against a hypoxia-only account.</w:t>
      </w:r>
    </w:p>
    <w:p w14:paraId="56513B47" w14:textId="5C132BE8" w:rsidR="00AB1175" w:rsidRDefault="00000000">
      <w:pPr>
        <w:pStyle w:val="BodyText"/>
      </w:pPr>
      <w:r>
        <w:t xml:space="preserve">First, donors were matched as closely as possible on overall cause of death, with a cardiovascular cause in 3 of 8 SSD donors against 2 of 8 controls. Second, endothelial </w:t>
      </w:r>
      <w:r>
        <w:rPr>
          <w:i/>
          <w:iCs/>
        </w:rPr>
        <w:t>PFKFB3</w:t>
      </w:r>
      <w:r>
        <w:t xml:space="preserve"> responds to stimuli other than hypoxia, including growth factors and hormones [1, 2, 4, 7]. Third, </w:t>
      </w:r>
      <w:r>
        <w:rPr>
          <w:i/>
          <w:iCs/>
        </w:rPr>
        <w:t>P4HA1</w:t>
      </w:r>
      <w:r>
        <w:t>, a hypoxia-inducible transcriptional target of HIF-1 [8], was reduced in SSD BBB (Log2FC = +1.02, nominal P = .023), the opposite of what sustained hypoxia predicts. Fourth, a post hoc sensitivity analysis excluding the single donor with severe agonal change and a CSF pH of 5.93, re-running both the linear mixed model and FGSEA, left the primary findings unchanged in direction and significance (</w:t>
      </w:r>
      <w:r>
        <w:rPr>
          <w:i/>
          <w:iCs/>
        </w:rPr>
        <w:t>SLC16A1</w:t>
      </w:r>
      <w:r>
        <w:t xml:space="preserve"> became marginal, P = .051).</w:t>
      </w:r>
    </w:p>
    <w:p w14:paraId="055BE4B2" w14:textId="66884F40" w:rsidR="00AB1175" w:rsidRDefault="00000000">
      <w:pPr>
        <w:pStyle w:val="BodyText"/>
      </w:pPr>
      <w:r>
        <w:t>These arguments constrain but do not exclude an agonal contribution, and transcript abundance in fixed post-mortem tissue remains an indirect measure of metabolic state.</w:t>
      </w:r>
    </w:p>
    <w:bookmarkEnd w:id="4"/>
    <w:p w14:paraId="3161223C" w14:textId="10023139" w:rsidR="00AB1175" w:rsidRDefault="00000000">
      <w:pPr>
        <w:pStyle w:val="Heading2"/>
      </w:pPr>
      <w:r>
        <w:t>Supplementary Table 2: Glucose and lactate transporters in BBB and parenchyma</w:t>
      </w:r>
    </w:p>
    <w:tbl>
      <w:tblPr>
        <w:tblStyle w:val="Table"/>
        <w:tblW w:w="5000" w:type="pct"/>
        <w:tblBorders>
          <w:top w:val="single" w:sz="8" w:space="0" w:color="auto"/>
          <w:bottom w:val="single" w:sz="8" w:space="0" w:color="auto"/>
        </w:tblBorders>
        <w:tblLayout w:type="fixed"/>
        <w:tblLook w:val="0020" w:firstRow="1" w:lastRow="0" w:firstColumn="0" w:lastColumn="0" w:noHBand="0" w:noVBand="0"/>
      </w:tblPr>
      <w:tblGrid>
        <w:gridCol w:w="1057"/>
        <w:gridCol w:w="1157"/>
        <w:gridCol w:w="1258"/>
        <w:gridCol w:w="1258"/>
        <w:gridCol w:w="1258"/>
        <w:gridCol w:w="1258"/>
        <w:gridCol w:w="2114"/>
      </w:tblGrid>
      <w:tr w:rsidR="00AB1175" w14:paraId="4EC0EB32" w14:textId="77777777" w:rsidTr="00AB11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050" w:type="dxa"/>
            <w:shd w:val="clear" w:color="auto" w:fill="D9D9D9"/>
          </w:tcPr>
          <w:p w14:paraId="766B19A8" w14:textId="77777777" w:rsidR="00AB1175" w:rsidRDefault="00000000">
            <w:pPr>
              <w:pStyle w:val="Compact"/>
            </w:pPr>
            <w:r>
              <w:rPr>
                <w:b/>
              </w:rPr>
              <w:t>Gene</w:t>
            </w:r>
          </w:p>
        </w:tc>
        <w:tc>
          <w:tcPr>
            <w:tcW w:w="1150" w:type="dxa"/>
            <w:shd w:val="clear" w:color="auto" w:fill="D9D9D9"/>
          </w:tcPr>
          <w:p w14:paraId="05C43546" w14:textId="77777777" w:rsidR="00AB1175" w:rsidRDefault="00000000">
            <w:pPr>
              <w:pStyle w:val="Compact"/>
            </w:pPr>
            <w:r>
              <w:rPr>
                <w:b/>
              </w:rPr>
              <w:t>Protein</w:t>
            </w:r>
          </w:p>
        </w:tc>
        <w:tc>
          <w:tcPr>
            <w:tcW w:w="1250" w:type="dxa"/>
            <w:shd w:val="clear" w:color="auto" w:fill="D9D9D9"/>
          </w:tcPr>
          <w:p w14:paraId="533C7FFE" w14:textId="77777777" w:rsidR="00AB1175" w:rsidRDefault="00000000">
            <w:pPr>
              <w:pStyle w:val="Compact"/>
            </w:pPr>
            <w:r>
              <w:rPr>
                <w:b/>
              </w:rPr>
              <w:t>BBB Log₂FC</w:t>
            </w:r>
          </w:p>
        </w:tc>
        <w:tc>
          <w:tcPr>
            <w:tcW w:w="1250" w:type="dxa"/>
            <w:shd w:val="clear" w:color="auto" w:fill="D9D9D9"/>
          </w:tcPr>
          <w:p w14:paraId="53070AA4" w14:textId="77777777" w:rsidR="00AB1175" w:rsidRDefault="00000000">
            <w:pPr>
              <w:pStyle w:val="Compact"/>
            </w:pPr>
            <w:r>
              <w:rPr>
                <w:b/>
              </w:rPr>
              <w:t xml:space="preserve">BBB nominal </w:t>
            </w:r>
            <w:r>
              <w:rPr>
                <w:b/>
                <w:i/>
                <w:iCs/>
              </w:rPr>
              <w:t>P</w:t>
            </w:r>
          </w:p>
        </w:tc>
        <w:tc>
          <w:tcPr>
            <w:tcW w:w="1250" w:type="dxa"/>
            <w:shd w:val="clear" w:color="auto" w:fill="D9D9D9"/>
          </w:tcPr>
          <w:p w14:paraId="50300779" w14:textId="77777777" w:rsidR="00AB1175" w:rsidRDefault="00000000">
            <w:pPr>
              <w:pStyle w:val="Compact"/>
            </w:pPr>
            <w:r>
              <w:rPr>
                <w:b/>
              </w:rPr>
              <w:t>Par. Log₂FC</w:t>
            </w:r>
          </w:p>
        </w:tc>
        <w:tc>
          <w:tcPr>
            <w:tcW w:w="1250" w:type="dxa"/>
            <w:shd w:val="clear" w:color="auto" w:fill="D9D9D9"/>
          </w:tcPr>
          <w:p w14:paraId="5D9B9B40" w14:textId="77777777" w:rsidR="00AB1175" w:rsidRDefault="00000000">
            <w:pPr>
              <w:pStyle w:val="Compact"/>
            </w:pPr>
            <w:r>
              <w:rPr>
                <w:b/>
              </w:rPr>
              <w:t xml:space="preserve">Par. nominal </w:t>
            </w:r>
            <w:r>
              <w:rPr>
                <w:b/>
                <w:i/>
                <w:iCs/>
              </w:rPr>
              <w:t>P</w:t>
            </w:r>
          </w:p>
        </w:tc>
        <w:tc>
          <w:tcPr>
            <w:tcW w:w="2100" w:type="dxa"/>
            <w:shd w:val="clear" w:color="auto" w:fill="D9D9D9"/>
          </w:tcPr>
          <w:p w14:paraId="359FCE7A" w14:textId="77777777" w:rsidR="00AB1175" w:rsidRDefault="00000000">
            <w:pPr>
              <w:pStyle w:val="Compact"/>
            </w:pPr>
            <w:r>
              <w:rPr>
                <w:b/>
              </w:rPr>
              <w:t>Function</w:t>
            </w:r>
          </w:p>
        </w:tc>
      </w:tr>
      <w:tr w:rsidR="00AB1175" w14:paraId="0D432330" w14:textId="77777777">
        <w:tc>
          <w:tcPr>
            <w:tcW w:w="1050" w:type="dxa"/>
          </w:tcPr>
          <w:p w14:paraId="5A0BC4F0" w14:textId="77777777" w:rsidR="00AB1175" w:rsidRDefault="00000000">
            <w:pPr>
              <w:pStyle w:val="Compact"/>
            </w:pPr>
            <w:r>
              <w:rPr>
                <w:i/>
                <w:iCs/>
              </w:rPr>
              <w:t>SLC2A1</w:t>
            </w:r>
          </w:p>
        </w:tc>
        <w:tc>
          <w:tcPr>
            <w:tcW w:w="1150" w:type="dxa"/>
          </w:tcPr>
          <w:p w14:paraId="108F1AFC" w14:textId="77777777" w:rsidR="00AB1175" w:rsidRDefault="00000000">
            <w:pPr>
              <w:pStyle w:val="Compact"/>
            </w:pPr>
            <w:r>
              <w:t>GLUT1</w:t>
            </w:r>
          </w:p>
        </w:tc>
        <w:tc>
          <w:tcPr>
            <w:tcW w:w="1250" w:type="dxa"/>
          </w:tcPr>
          <w:p w14:paraId="5D0AE952" w14:textId="77777777" w:rsidR="00AB1175" w:rsidRDefault="00000000">
            <w:pPr>
              <w:pStyle w:val="Compact"/>
            </w:pPr>
            <w:r>
              <w:t>+0.788*</w:t>
            </w:r>
          </w:p>
        </w:tc>
        <w:tc>
          <w:tcPr>
            <w:tcW w:w="1250" w:type="dxa"/>
          </w:tcPr>
          <w:p w14:paraId="06A5DC57" w14:textId="77777777" w:rsidR="00AB1175" w:rsidRDefault="00000000">
            <w:pPr>
              <w:pStyle w:val="Compact"/>
            </w:pPr>
            <w:r>
              <w:t>.024</w:t>
            </w:r>
          </w:p>
        </w:tc>
        <w:tc>
          <w:tcPr>
            <w:tcW w:w="1250" w:type="dxa"/>
          </w:tcPr>
          <w:p w14:paraId="24029826" w14:textId="165540A4" w:rsidR="00AB1175" w:rsidRDefault="00000000">
            <w:pPr>
              <w:pStyle w:val="Compact"/>
            </w:pPr>
            <w:r>
              <w:t>+0.088</w:t>
            </w:r>
          </w:p>
        </w:tc>
        <w:tc>
          <w:tcPr>
            <w:tcW w:w="1250" w:type="dxa"/>
          </w:tcPr>
          <w:p w14:paraId="1293B988" w14:textId="5F9D86C1" w:rsidR="00AB1175" w:rsidRDefault="00000000">
            <w:pPr>
              <w:pStyle w:val="Compact"/>
            </w:pPr>
            <w:r>
              <w:t>.379</w:t>
            </w:r>
          </w:p>
        </w:tc>
        <w:tc>
          <w:tcPr>
            <w:tcW w:w="2100" w:type="dxa"/>
          </w:tcPr>
          <w:p w14:paraId="48415412" w14:textId="77777777" w:rsidR="00AB1175" w:rsidRDefault="00000000">
            <w:pPr>
              <w:pStyle w:val="Compact"/>
            </w:pPr>
            <w:r>
              <w:t>Main BBB endothelial and astrocytic glucose transporter</w:t>
            </w:r>
          </w:p>
        </w:tc>
      </w:tr>
      <w:tr w:rsidR="00AB1175" w14:paraId="3579100E" w14:textId="77777777">
        <w:tc>
          <w:tcPr>
            <w:tcW w:w="1050" w:type="dxa"/>
          </w:tcPr>
          <w:p w14:paraId="63A9AA73" w14:textId="77777777" w:rsidR="00AB1175" w:rsidRDefault="00000000">
            <w:pPr>
              <w:pStyle w:val="Compact"/>
            </w:pPr>
            <w:r>
              <w:rPr>
                <w:i/>
                <w:iCs/>
              </w:rPr>
              <w:t>SLC2A3</w:t>
            </w:r>
          </w:p>
        </w:tc>
        <w:tc>
          <w:tcPr>
            <w:tcW w:w="1150" w:type="dxa"/>
          </w:tcPr>
          <w:p w14:paraId="7EFCD896" w14:textId="77777777" w:rsidR="00AB1175" w:rsidRDefault="00000000">
            <w:pPr>
              <w:pStyle w:val="Compact"/>
            </w:pPr>
            <w:r>
              <w:t>GLUT3</w:t>
            </w:r>
          </w:p>
        </w:tc>
        <w:tc>
          <w:tcPr>
            <w:tcW w:w="1250" w:type="dxa"/>
          </w:tcPr>
          <w:p w14:paraId="450DF864" w14:textId="77777777" w:rsidR="00AB1175" w:rsidRDefault="00000000">
            <w:pPr>
              <w:pStyle w:val="Compact"/>
            </w:pPr>
            <w:r>
              <w:t>+0.238</w:t>
            </w:r>
          </w:p>
        </w:tc>
        <w:tc>
          <w:tcPr>
            <w:tcW w:w="1250" w:type="dxa"/>
          </w:tcPr>
          <w:p w14:paraId="43FEDE95" w14:textId="77777777" w:rsidR="00AB1175" w:rsidRDefault="00000000">
            <w:pPr>
              <w:pStyle w:val="Compact"/>
            </w:pPr>
            <w:r>
              <w:t>.175</w:t>
            </w:r>
          </w:p>
        </w:tc>
        <w:tc>
          <w:tcPr>
            <w:tcW w:w="1250" w:type="dxa"/>
          </w:tcPr>
          <w:p w14:paraId="23ADD432" w14:textId="77777777" w:rsidR="00AB1175" w:rsidRDefault="00000000">
            <w:pPr>
              <w:pStyle w:val="Compact"/>
            </w:pPr>
            <w:r>
              <w:t>−0.008</w:t>
            </w:r>
          </w:p>
        </w:tc>
        <w:tc>
          <w:tcPr>
            <w:tcW w:w="1250" w:type="dxa"/>
          </w:tcPr>
          <w:p w14:paraId="5EB24260" w14:textId="77777777" w:rsidR="00AB1175" w:rsidRDefault="00000000">
            <w:pPr>
              <w:pStyle w:val="Compact"/>
            </w:pPr>
            <w:r>
              <w:t>.913</w:t>
            </w:r>
          </w:p>
        </w:tc>
        <w:tc>
          <w:tcPr>
            <w:tcW w:w="2100" w:type="dxa"/>
          </w:tcPr>
          <w:p w14:paraId="77A95043" w14:textId="77777777" w:rsidR="00AB1175" w:rsidRDefault="00000000">
            <w:pPr>
              <w:pStyle w:val="Compact"/>
            </w:pPr>
            <w:r>
              <w:t xml:space="preserve">Main neuronal glucose transporter; </w:t>
            </w:r>
            <w:r>
              <w:lastRenderedPageBreak/>
              <w:t>shown in the BBB to test for compensatory upregulation</w:t>
            </w:r>
          </w:p>
        </w:tc>
      </w:tr>
      <w:tr w:rsidR="00AB1175" w14:paraId="44711D6F" w14:textId="77777777">
        <w:tc>
          <w:tcPr>
            <w:tcW w:w="1050" w:type="dxa"/>
          </w:tcPr>
          <w:p w14:paraId="0069AA5A" w14:textId="77777777" w:rsidR="00AB1175" w:rsidRDefault="00000000">
            <w:pPr>
              <w:pStyle w:val="Compact"/>
            </w:pPr>
            <w:r>
              <w:rPr>
                <w:i/>
                <w:iCs/>
              </w:rPr>
              <w:lastRenderedPageBreak/>
              <w:t>SLC16A1</w:t>
            </w:r>
          </w:p>
        </w:tc>
        <w:tc>
          <w:tcPr>
            <w:tcW w:w="1150" w:type="dxa"/>
          </w:tcPr>
          <w:p w14:paraId="70B8FA30" w14:textId="77777777" w:rsidR="00AB1175" w:rsidRDefault="00000000">
            <w:pPr>
              <w:pStyle w:val="Compact"/>
            </w:pPr>
            <w:r>
              <w:t>MCT1</w:t>
            </w:r>
          </w:p>
        </w:tc>
        <w:tc>
          <w:tcPr>
            <w:tcW w:w="1250" w:type="dxa"/>
          </w:tcPr>
          <w:p w14:paraId="0362E5D3" w14:textId="77777777" w:rsidR="00AB1175" w:rsidRDefault="00000000">
            <w:pPr>
              <w:pStyle w:val="Compact"/>
            </w:pPr>
            <w:r>
              <w:t>+0.929*</w:t>
            </w:r>
          </w:p>
        </w:tc>
        <w:tc>
          <w:tcPr>
            <w:tcW w:w="1250" w:type="dxa"/>
          </w:tcPr>
          <w:p w14:paraId="04177E30" w14:textId="77777777" w:rsidR="00AB1175" w:rsidRDefault="00000000">
            <w:pPr>
              <w:pStyle w:val="Compact"/>
            </w:pPr>
            <w:r>
              <w:t>.033</w:t>
            </w:r>
          </w:p>
        </w:tc>
        <w:tc>
          <w:tcPr>
            <w:tcW w:w="1250" w:type="dxa"/>
          </w:tcPr>
          <w:p w14:paraId="1450A333" w14:textId="77777777" w:rsidR="00AB1175" w:rsidRDefault="00000000">
            <w:pPr>
              <w:pStyle w:val="Compact"/>
            </w:pPr>
            <w:r>
              <w:t>+0.090</w:t>
            </w:r>
          </w:p>
        </w:tc>
        <w:tc>
          <w:tcPr>
            <w:tcW w:w="1250" w:type="dxa"/>
          </w:tcPr>
          <w:p w14:paraId="749191FF" w14:textId="77777777" w:rsidR="00AB1175" w:rsidRDefault="00000000">
            <w:pPr>
              <w:pStyle w:val="Compact"/>
            </w:pPr>
            <w:r>
              <w:t>.547</w:t>
            </w:r>
          </w:p>
        </w:tc>
        <w:tc>
          <w:tcPr>
            <w:tcW w:w="2100" w:type="dxa"/>
          </w:tcPr>
          <w:p w14:paraId="0F9AE5DE" w14:textId="77777777" w:rsidR="00AB1175" w:rsidRDefault="00000000">
            <w:pPr>
              <w:pStyle w:val="Compact"/>
            </w:pPr>
            <w:r>
              <w:t>Endothelial and astrocytic lactate transporter</w:t>
            </w:r>
          </w:p>
        </w:tc>
      </w:tr>
    </w:tbl>
    <w:p w14:paraId="42831679" w14:textId="311C8E10" w:rsidR="00AB1175" w:rsidRDefault="00000000">
      <w:pPr>
        <w:pStyle w:val="BodyText"/>
      </w:pPr>
      <w:r>
        <w:t xml:space="preserve">* Nominal </w:t>
      </w:r>
      <w:r>
        <w:rPr>
          <w:i/>
          <w:iCs/>
        </w:rPr>
        <w:t>P</w:t>
      </w:r>
      <w:r>
        <w:t xml:space="preserve"> ≤.05, uncorrected; no gene reached FDR-corrected significance. A positive Log2FC indicates reduced expression in SSD versus control. Par. = parenchyma; parenchyma AOIs are CD31- and pool all non-endothelial cells, so the GLUT1 and MCT1 parenchyma estimates reflect astrocytes together with the other cell types present, and the GLUT3 parenchyma estimate reflects neurons diluted by non-neuronal cells. GLUT3 is the main neuronal glucose transporter [6], but its transcript is also enhanced in brain endothelial cells [3], so it is reported in the BBB column to test whether reduced GLUT1 was compensated by another endothelial glucose transporter; its estimate gives no sign of such compensation. </w:t>
      </w:r>
      <w:r>
        <w:rPr>
          <w:i/>
          <w:iCs/>
        </w:rPr>
        <w:t>SLC16A7</w:t>
      </w:r>
      <w:r>
        <w:t xml:space="preserve"> (MCT2) did not pass quality control and is therefore absent from the differential expression output.</w:t>
      </w:r>
    </w:p>
    <w:p w14:paraId="272E89F6" w14:textId="77777777" w:rsidR="00AB1175" w:rsidRDefault="00000000">
      <w:pPr>
        <w:pStyle w:val="Heading2"/>
      </w:pPr>
      <w:r>
        <w:t>Supplementary References</w:t>
      </w:r>
    </w:p>
    <w:p w14:paraId="3F6F5C10" w14:textId="209B96F8" w:rsidR="00AB1175" w:rsidRDefault="00000000">
      <w:pPr>
        <w:pStyle w:val="BodyText"/>
      </w:pPr>
      <w:r>
        <w:t xml:space="preserve">1. </w:t>
      </w:r>
      <w:proofErr w:type="spellStart"/>
      <w:r>
        <w:t>Boscaro</w:t>
      </w:r>
      <w:proofErr w:type="spellEnd"/>
      <w:r>
        <w:t xml:space="preserve"> C, </w:t>
      </w:r>
      <w:proofErr w:type="spellStart"/>
      <w:r>
        <w:t>Trenti</w:t>
      </w:r>
      <w:proofErr w:type="spellEnd"/>
      <w:r>
        <w:t xml:space="preserve"> A, Baggio C, Scapin C, Trevisi L, Cignarella A, Bolego C. Sex differences in the pro-angiogenic response of human endothelial cells: focus on PFKFB3 and FAK activation. Front Pharmacol. 2020;11:587221. https://doi.org/10.3389/fphar.2020.587221</w:t>
      </w:r>
    </w:p>
    <w:p w14:paraId="2E2BA668" w14:textId="6637F56A" w:rsidR="00AB1175" w:rsidRDefault="00000000">
      <w:pPr>
        <w:pStyle w:val="BodyText"/>
      </w:pPr>
      <w:r>
        <w:t>2. De Bock K, Georgiadou M, Schoors S, Kuchnio A, Wong BW, Cantelmo AR, et al. Role of PFKFB3-Driven Glycolysis in Vessel Sprouting. Cell. 2013;154(3):651-663. https://doi.org/10.1016/j.cell.2013.06.037</w:t>
      </w:r>
    </w:p>
    <w:p w14:paraId="5B9BC064" w14:textId="77777777" w:rsidR="00AB1175" w:rsidRDefault="00000000">
      <w:pPr>
        <w:pStyle w:val="BodyText"/>
      </w:pPr>
      <w:r>
        <w:t xml:space="preserve">3. Human_Protein_Atlas: </w:t>
      </w:r>
      <w:r>
        <w:rPr>
          <w:i/>
          <w:iCs/>
        </w:rPr>
        <w:t>SLC2A3</w:t>
      </w:r>
      <w:r>
        <w:t>. https://www.proteinatlas.org/ENSG00000059804-</w:t>
      </w:r>
      <w:r>
        <w:rPr>
          <w:i/>
          <w:iCs/>
        </w:rPr>
        <w:t>SLC2A3</w:t>
      </w:r>
      <w:r>
        <w:t>/single+cell#single_nuclei_brain. Accessed 3 March 2025</w:t>
      </w:r>
    </w:p>
    <w:p w14:paraId="0130A9A7" w14:textId="0BCEC07F" w:rsidR="00AB1175" w:rsidRDefault="00000000">
      <w:pPr>
        <w:pStyle w:val="BodyText"/>
      </w:pPr>
      <w:r>
        <w:t>4. Li X, Sun X, Carmeliet P. Hallmarks of Endothelial Cell Metabolism in Health and Disease. Cell Metab. 2019;30(3):414-433. https://doi.org/10.1016/j.cmet.2019.08.011</w:t>
      </w:r>
    </w:p>
    <w:p w14:paraId="42E91FAB" w14:textId="5C049EDA" w:rsidR="00AB1175" w:rsidRDefault="00000000">
      <w:pPr>
        <w:pStyle w:val="BodyText"/>
      </w:pPr>
      <w:r>
        <w:t xml:space="preserve">5. </w:t>
      </w:r>
      <w:proofErr w:type="spellStart"/>
      <w:r>
        <w:t>Minchenko</w:t>
      </w:r>
      <w:proofErr w:type="spellEnd"/>
      <w:r>
        <w:t xml:space="preserve"> A, </w:t>
      </w:r>
      <w:proofErr w:type="spellStart"/>
      <w:r>
        <w:t>Leshchinsky</w:t>
      </w:r>
      <w:proofErr w:type="spellEnd"/>
      <w:r>
        <w:t xml:space="preserve"> I, Opentanova I, Sang N, Srinivas V, Armstead V, Caro J. Hypoxia-inducible factor-1-mediated expression of the 6-phosphofructo-2-kinase/fructose-2,6-bisphosphatase-3 (PFKFB3) gene: its possible role in the Warburg effect. J Biol Chem. 2002;277(8):6183-6187. https://doi.org/10.1074/jbc.M110978200</w:t>
      </w:r>
    </w:p>
    <w:p w14:paraId="0470BF37" w14:textId="384F08DB" w:rsidR="00AB1175" w:rsidRDefault="00000000">
      <w:pPr>
        <w:pStyle w:val="BodyText"/>
      </w:pPr>
      <w:r>
        <w:t>6. Nguyen YTK, Ha HTT, Nguyen TH, Nguyen LN. The role of SLC transporters for brain health and disease. Cell Mol Life Sci. 2022;79(1):20. https://doi.org/10.1007/s00018-021-04074-4</w:t>
      </w:r>
    </w:p>
    <w:p w14:paraId="7464429F" w14:textId="4B139678" w:rsidR="00AB1175" w:rsidRDefault="00000000">
      <w:pPr>
        <w:pStyle w:val="BodyText"/>
      </w:pPr>
      <w:r>
        <w:lastRenderedPageBreak/>
        <w:t xml:space="preserve">7. </w:t>
      </w:r>
      <w:proofErr w:type="spellStart"/>
      <w:r>
        <w:t>Rohlenova</w:t>
      </w:r>
      <w:proofErr w:type="spellEnd"/>
      <w:r>
        <w:t xml:space="preserve"> K, Veys K, Miranda-Santos I, De Bock K, Carmeliet P. Endothelial Cell Metabolism in Health and Disease. Trends Cell Biol. 2018;28(3):224-236. https://doi.org/10.1016/j.tcb.2017.10.010</w:t>
      </w:r>
    </w:p>
    <w:p w14:paraId="455CBCF5" w14:textId="49805C6D" w:rsidR="00AB1175" w:rsidRDefault="00000000">
      <w:pPr>
        <w:pStyle w:val="BodyText"/>
      </w:pPr>
      <w:r>
        <w:t>8. Takahashi Y, Takahashi S, Shiga Y, Yoshimi T, Miura T. Hypoxic induction of prolyl 4-hydroxylase alpha(I) in cultured cells. J Biol Chem. 2000;275(19):14139-14146. https://doi.org/10.1074/jbc.275.19.14139</w:t>
      </w:r>
    </w:p>
    <w:sectPr w:rsidR="00AB1175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475E7" w14:textId="77777777" w:rsidR="00965D17" w:rsidRDefault="00965D17">
      <w:pPr>
        <w:spacing w:after="0"/>
      </w:pPr>
      <w:r>
        <w:separator/>
      </w:r>
    </w:p>
  </w:endnote>
  <w:endnote w:type="continuationSeparator" w:id="0">
    <w:p w14:paraId="5F264DFE" w14:textId="77777777" w:rsidR="00965D17" w:rsidRDefault="00965D1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24140" w14:textId="77777777" w:rsidR="00965D17" w:rsidRDefault="00965D17">
      <w:r>
        <w:separator/>
      </w:r>
    </w:p>
  </w:footnote>
  <w:footnote w:type="continuationSeparator" w:id="0">
    <w:p w14:paraId="62266FB2" w14:textId="77777777" w:rsidR="00965D17" w:rsidRDefault="00965D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C2A0240C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 w16cid:durableId="542711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175"/>
    <w:rsid w:val="0050467E"/>
    <w:rsid w:val="00626F97"/>
    <w:rsid w:val="00635B48"/>
    <w:rsid w:val="00636F5B"/>
    <w:rsid w:val="00656500"/>
    <w:rsid w:val="006A2B8C"/>
    <w:rsid w:val="008A170B"/>
    <w:rsid w:val="00965D17"/>
    <w:rsid w:val="00A647A1"/>
    <w:rsid w:val="00AB1175"/>
    <w:rsid w:val="00BA700C"/>
    <w:rsid w:val="00C75148"/>
    <w:rsid w:val="00DF7AD7"/>
    <w:rsid w:val="00E2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C4343"/>
  <w15:docId w15:val="{2E57F9C3-1689-4619-A9E4-00EF98262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000000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000000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000000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000000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000000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color w:val="000000"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rPr>
      <w:color w:val="000000"/>
      <w:u w:val="none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Karin Huizer</dc:creator>
  <cp:keywords/>
  <cp:lastModifiedBy>Karin Huizer</cp:lastModifiedBy>
  <cp:revision>3</cp:revision>
  <dcterms:created xsi:type="dcterms:W3CDTF">2026-09-03T08:51:00Z</dcterms:created>
  <dcterms:modified xsi:type="dcterms:W3CDTF">2026-09-03T08:51:00Z</dcterms:modified>
</cp:coreProperties>
</file>