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71CB" w:rsidRPr="001171CB" w:rsidRDefault="001171CB" w:rsidP="001171CB">
      <w:pPr>
        <w:spacing w:line="480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1171CB">
        <w:rPr>
          <w:rFonts w:ascii="Times New Roman" w:hAnsi="Times New Roman" w:cs="Times New Roman"/>
          <w:b/>
          <w:sz w:val="22"/>
          <w:szCs w:val="22"/>
        </w:rPr>
        <w:t>Systematic differences in effect estimates between observational studies and randomized control trials in meta-analyses combining both study designs in nephrology</w:t>
      </w:r>
    </w:p>
    <w:p w:rsidR="001171CB" w:rsidRPr="001171CB" w:rsidRDefault="001171CB" w:rsidP="001171CB">
      <w:pPr>
        <w:spacing w:line="480" w:lineRule="auto"/>
        <w:contextualSpacing/>
        <w:rPr>
          <w:rFonts w:ascii="Times New Roman" w:hAnsi="Times New Roman" w:cs="Times New Roman"/>
          <w:b/>
          <w:sz w:val="22"/>
          <w:szCs w:val="22"/>
          <w:shd w:val="pct15" w:color="auto" w:fill="FFFFFF"/>
        </w:rPr>
      </w:pPr>
    </w:p>
    <w:p w:rsidR="001171CB" w:rsidRPr="001171CB" w:rsidRDefault="001171CB" w:rsidP="001171CB">
      <w:pPr>
        <w:spacing w:line="480" w:lineRule="auto"/>
        <w:contextualSpacing/>
        <w:rPr>
          <w:rFonts w:ascii="Times New Roman" w:hAnsi="Times New Roman" w:cs="Times New Roman"/>
          <w:sz w:val="22"/>
          <w:szCs w:val="22"/>
        </w:rPr>
      </w:pPr>
      <w:r w:rsidRPr="001171CB">
        <w:rPr>
          <w:rFonts w:ascii="Times New Roman" w:hAnsi="Times New Roman" w:cs="Times New Roman"/>
          <w:sz w:val="22"/>
          <w:szCs w:val="22"/>
        </w:rPr>
        <w:t>Miho Kimachi</w:t>
      </w:r>
      <w:r w:rsidRPr="001171CB">
        <w:rPr>
          <w:rFonts w:ascii="Times New Roman" w:hAnsi="Times New Roman" w:cs="Times New Roman"/>
          <w:sz w:val="22"/>
          <w:szCs w:val="22"/>
          <w:vertAlign w:val="superscript"/>
        </w:rPr>
        <w:t>1*</w:t>
      </w:r>
      <w:r w:rsidRPr="001171CB">
        <w:rPr>
          <w:rFonts w:ascii="Times New Roman" w:hAnsi="Times New Roman" w:cs="Times New Roman" w:hint="eastAsia"/>
          <w:sz w:val="22"/>
          <w:szCs w:val="22"/>
        </w:rPr>
        <w:t>,</w:t>
      </w:r>
      <w:r w:rsidRPr="001171CB">
        <w:rPr>
          <w:rFonts w:ascii="Times New Roman" w:hAnsi="Times New Roman" w:cs="Times New Roman"/>
          <w:sz w:val="22"/>
          <w:szCs w:val="22"/>
        </w:rPr>
        <w:t xml:space="preserve"> Akira Onishi</w:t>
      </w:r>
      <w:r w:rsidRPr="001171CB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1171CB">
        <w:rPr>
          <w:rFonts w:ascii="Times New Roman" w:hAnsi="Times New Roman" w:cs="Times New Roman"/>
          <w:sz w:val="22"/>
          <w:szCs w:val="22"/>
        </w:rPr>
        <w:t>, Aran Tajika</w:t>
      </w:r>
      <w:r w:rsidRPr="001171CB">
        <w:rPr>
          <w:rFonts w:ascii="Times New Roman" w:hAnsi="Times New Roman" w:cs="Times New Roman"/>
          <w:sz w:val="22"/>
          <w:szCs w:val="22"/>
          <w:vertAlign w:val="superscript"/>
        </w:rPr>
        <w:t>3</w:t>
      </w:r>
      <w:r w:rsidRPr="001171CB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171CB">
        <w:rPr>
          <w:rFonts w:ascii="Times New Roman" w:hAnsi="Times New Roman" w:cs="Times New Roman"/>
          <w:sz w:val="22"/>
          <w:szCs w:val="22"/>
        </w:rPr>
        <w:t>Kimihiko</w:t>
      </w:r>
      <w:proofErr w:type="spellEnd"/>
      <w:r w:rsidRPr="001171CB">
        <w:rPr>
          <w:rFonts w:ascii="Times New Roman" w:hAnsi="Times New Roman" w:cs="Times New Roman"/>
          <w:sz w:val="22"/>
          <w:szCs w:val="22"/>
        </w:rPr>
        <w:t xml:space="preserve"> Kimachi</w:t>
      </w:r>
      <w:r w:rsidRPr="001171CB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 w:rsidRPr="001171CB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171CB">
        <w:rPr>
          <w:rFonts w:ascii="Times New Roman" w:hAnsi="Times New Roman" w:cs="Times New Roman"/>
          <w:sz w:val="22"/>
          <w:szCs w:val="22"/>
        </w:rPr>
        <w:t>Toshi</w:t>
      </w:r>
      <w:proofErr w:type="spellEnd"/>
      <w:r w:rsidRPr="001171CB">
        <w:rPr>
          <w:rFonts w:ascii="Times New Roman" w:hAnsi="Times New Roman" w:cs="Times New Roman"/>
          <w:sz w:val="22"/>
          <w:szCs w:val="22"/>
        </w:rPr>
        <w:t xml:space="preserve"> A Furukawa</w:t>
      </w:r>
      <w:r w:rsidRPr="001171CB">
        <w:rPr>
          <w:rFonts w:ascii="Times New Roman" w:hAnsi="Times New Roman" w:cs="Times New Roman"/>
          <w:sz w:val="22"/>
          <w:szCs w:val="22"/>
          <w:vertAlign w:val="superscript"/>
        </w:rPr>
        <w:t>4</w:t>
      </w:r>
    </w:p>
    <w:p w:rsidR="001171CB" w:rsidRPr="001171CB" w:rsidRDefault="001171CB" w:rsidP="001171CB">
      <w:pPr>
        <w:spacing w:line="480" w:lineRule="auto"/>
        <w:contextualSpacing/>
        <w:rPr>
          <w:rFonts w:ascii="Times New Roman" w:hAnsi="Times New Roman" w:cs="Times New Roman"/>
          <w:sz w:val="22"/>
          <w:szCs w:val="22"/>
        </w:rPr>
      </w:pPr>
    </w:p>
    <w:p w:rsidR="001171CB" w:rsidRPr="001171CB" w:rsidRDefault="001171CB" w:rsidP="001171CB">
      <w:pPr>
        <w:spacing w:line="480" w:lineRule="auto"/>
        <w:contextualSpacing/>
        <w:rPr>
          <w:rFonts w:ascii="Times New Roman" w:hAnsi="Times New Roman" w:cs="Times New Roman"/>
          <w:sz w:val="22"/>
          <w:szCs w:val="22"/>
        </w:rPr>
      </w:pPr>
      <w:r w:rsidRPr="001171CB">
        <w:rPr>
          <w:rFonts w:ascii="Times New Roman" w:hAnsi="Times New Roman" w:cs="Times New Roman"/>
          <w:sz w:val="22"/>
          <w:szCs w:val="22"/>
          <w:vertAlign w:val="superscript"/>
        </w:rPr>
        <w:t xml:space="preserve">1 </w:t>
      </w:r>
      <w:r w:rsidRPr="001171CB">
        <w:rPr>
          <w:rFonts w:ascii="Times New Roman" w:hAnsi="Times New Roman" w:cs="Times New Roman"/>
          <w:sz w:val="22"/>
          <w:szCs w:val="22"/>
        </w:rPr>
        <w:t>Department of Healthcare Epidemiology, School of Public Health in the Graduate School of Medicine, Kyoto University, Kyoto, Japan</w:t>
      </w:r>
    </w:p>
    <w:p w:rsidR="001171CB" w:rsidRPr="001171CB" w:rsidRDefault="001171CB" w:rsidP="001171CB">
      <w:pPr>
        <w:spacing w:line="480" w:lineRule="auto"/>
        <w:contextualSpacing/>
        <w:rPr>
          <w:rFonts w:ascii="Times New Roman" w:hAnsi="Times New Roman" w:cs="Times New Roman"/>
          <w:sz w:val="22"/>
          <w:szCs w:val="22"/>
        </w:rPr>
      </w:pPr>
      <w:r w:rsidRPr="001171CB">
        <w:rPr>
          <w:rFonts w:ascii="Times New Roman" w:hAnsi="Times New Roman" w:cs="Times New Roman"/>
          <w:sz w:val="22"/>
          <w:szCs w:val="22"/>
          <w:vertAlign w:val="superscript"/>
        </w:rPr>
        <w:t xml:space="preserve">2 </w:t>
      </w:r>
      <w:r w:rsidRPr="001171CB">
        <w:rPr>
          <w:rFonts w:ascii="Times New Roman" w:hAnsi="Times New Roman" w:cs="Times New Roman"/>
          <w:color w:val="000000" w:themeColor="text1"/>
          <w:sz w:val="22"/>
          <w:szCs w:val="22"/>
        </w:rPr>
        <w:t>Department of Rheumatology and Clinical Immunology, Kobe University Graduate School of Medicine, Hyōgo, Japan.</w:t>
      </w:r>
    </w:p>
    <w:p w:rsidR="001171CB" w:rsidRPr="001171CB" w:rsidRDefault="001171CB" w:rsidP="001171CB">
      <w:pPr>
        <w:spacing w:line="480" w:lineRule="auto"/>
        <w:contextualSpacing/>
        <w:rPr>
          <w:rFonts w:ascii="Times New Roman" w:hAnsi="Times New Roman" w:cs="Times New Roman"/>
          <w:sz w:val="22"/>
          <w:szCs w:val="22"/>
        </w:rPr>
      </w:pPr>
      <w:r w:rsidRPr="001171CB">
        <w:rPr>
          <w:rFonts w:ascii="Times New Roman" w:hAnsi="Times New Roman" w:cs="Times New Roman"/>
          <w:sz w:val="22"/>
          <w:szCs w:val="22"/>
          <w:vertAlign w:val="superscript"/>
        </w:rPr>
        <w:t xml:space="preserve">3 </w:t>
      </w:r>
      <w:r w:rsidRPr="001171CB">
        <w:rPr>
          <w:rFonts w:ascii="Times New Roman" w:hAnsi="Times New Roman" w:cs="Times New Roman"/>
          <w:color w:val="222222"/>
          <w:sz w:val="22"/>
          <w:szCs w:val="22"/>
        </w:rPr>
        <w:t>Department of Psychiatry,</w:t>
      </w:r>
      <w:r w:rsidRPr="001171CB">
        <w:rPr>
          <w:rFonts w:ascii="Times New Roman" w:hAnsi="Times New Roman" w:cs="Times New Roman"/>
          <w:sz w:val="22"/>
          <w:szCs w:val="22"/>
        </w:rPr>
        <w:t xml:space="preserve"> Kyoto University Hospital, Kyoto, Japan</w:t>
      </w:r>
    </w:p>
    <w:p w:rsidR="001171CB" w:rsidRPr="001171CB" w:rsidRDefault="001171CB" w:rsidP="001171CB">
      <w:pPr>
        <w:spacing w:line="480" w:lineRule="auto"/>
        <w:contextualSpacing/>
        <w:rPr>
          <w:rFonts w:ascii="Times New Roman" w:hAnsi="Times New Roman" w:cs="Times New Roman"/>
          <w:sz w:val="22"/>
          <w:szCs w:val="22"/>
        </w:rPr>
      </w:pPr>
      <w:r w:rsidRPr="001171CB">
        <w:rPr>
          <w:rFonts w:ascii="Times New Roman" w:hAnsi="Times New Roman" w:cs="Times New Roman"/>
          <w:sz w:val="22"/>
          <w:szCs w:val="22"/>
          <w:vertAlign w:val="superscript"/>
        </w:rPr>
        <w:t xml:space="preserve">4 </w:t>
      </w:r>
      <w:r w:rsidRPr="001171CB">
        <w:rPr>
          <w:rFonts w:ascii="Times New Roman" w:hAnsi="Times New Roman" w:cs="Times New Roman"/>
          <w:sz w:val="22"/>
          <w:szCs w:val="22"/>
        </w:rPr>
        <w:t>Department of Health Promotion and Human Behavior, School of Public Health in the Graduate School of Medicine, Kyoto University, Kyoto, Japan</w:t>
      </w:r>
    </w:p>
    <w:p w:rsidR="001171CB" w:rsidRPr="001171CB" w:rsidRDefault="001171CB" w:rsidP="001171CB">
      <w:pPr>
        <w:spacing w:line="480" w:lineRule="auto"/>
        <w:contextualSpacing/>
        <w:rPr>
          <w:rFonts w:ascii="Times New Roman" w:hAnsi="Times New Roman" w:cs="Times New Roman"/>
          <w:sz w:val="22"/>
          <w:szCs w:val="22"/>
        </w:rPr>
      </w:pPr>
      <w:r w:rsidRPr="001171CB">
        <w:rPr>
          <w:rFonts w:ascii="Times New Roman" w:hAnsi="Times New Roman" w:cs="Times New Roman"/>
          <w:sz w:val="22"/>
          <w:szCs w:val="22"/>
        </w:rPr>
        <w:t xml:space="preserve">Japan. Health, Kyoto, Japan. </w:t>
      </w:r>
    </w:p>
    <w:p w:rsidR="00ED78BE" w:rsidRPr="001171CB" w:rsidRDefault="00ED78BE" w:rsidP="001D427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747FE3" w:rsidRPr="001171CB" w:rsidRDefault="00747FE3" w:rsidP="001D427E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171CB">
        <w:rPr>
          <w:rFonts w:ascii="Times New Roman" w:hAnsi="Times New Roman" w:cs="Times New Roman"/>
          <w:b/>
          <w:bCs/>
          <w:sz w:val="22"/>
          <w:szCs w:val="22"/>
        </w:rPr>
        <w:br w:type="page"/>
      </w:r>
    </w:p>
    <w:p w:rsidR="00270ED1" w:rsidRPr="001171CB" w:rsidRDefault="00C64604" w:rsidP="001D427E">
      <w:pPr>
        <w:rPr>
          <w:rFonts w:ascii="Times New Roman" w:hAnsi="Times New Roman" w:cs="Times New Roman"/>
          <w:sz w:val="22"/>
          <w:szCs w:val="22"/>
        </w:rPr>
      </w:pPr>
      <w:r w:rsidRPr="001171CB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Supplement </w:t>
      </w:r>
      <w:r w:rsidR="00270ED1" w:rsidRPr="001171CB">
        <w:rPr>
          <w:rFonts w:ascii="Times New Roman" w:hAnsi="Times New Roman" w:cs="Times New Roman"/>
          <w:b/>
          <w:bCs/>
          <w:sz w:val="22"/>
          <w:szCs w:val="22"/>
        </w:rPr>
        <w:t>Table 1</w:t>
      </w:r>
      <w:r w:rsidRPr="001171CB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82666C" w:rsidRPr="001171C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70ED1" w:rsidRPr="001171CB">
        <w:rPr>
          <w:rFonts w:ascii="Times New Roman" w:hAnsi="Times New Roman" w:cs="Times New Roman"/>
          <w:sz w:val="22"/>
          <w:szCs w:val="22"/>
        </w:rPr>
        <w:t>Search Strategy</w:t>
      </w:r>
    </w:p>
    <w:tbl>
      <w:tblPr>
        <w:tblW w:w="907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67"/>
        <w:gridCol w:w="8505"/>
      </w:tblGrid>
      <w:tr w:rsidR="007C6B73" w:rsidRPr="001171CB" w:rsidTr="00B84447">
        <w:trPr>
          <w:trHeight w:val="366"/>
        </w:trPr>
        <w:tc>
          <w:tcPr>
            <w:tcW w:w="9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b/>
                <w:bCs/>
                <w:color w:val="000000"/>
                <w:sz w:val="22"/>
                <w:szCs w:val="22"/>
              </w:rPr>
              <w:t>EMBASE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73" w:rsidRPr="001171CB" w:rsidRDefault="007C6B73" w:rsidP="007C6B73">
            <w:pPr>
              <w:spacing w:line="264" w:lineRule="auto"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epidemiology/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case control study/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cohort analysis/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4.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(cohort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adj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(study or studies)).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5.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(Case control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adj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(study or studies)).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6.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Cohort analy$.mp.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7.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follow up/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8.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(Follow up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adj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(study or studies)).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9.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observational study/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observational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adj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(study or studies)).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longitudinal study/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(Longitudinal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adj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(study or studies)).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retrospective study/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(retrospective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adj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(study or studies)).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cross-sectional study/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(Cross sectional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adj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(study or studies)).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7C6B73">
            <w:pPr>
              <w:spacing w:line="264" w:lineRule="auto"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or/1-16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exp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meta analysis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"Systematic Review"/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(systematic$ adj2 (review$ or overview)).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ti,ab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(meta-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analys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$ or meta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analys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$ or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metaanalys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$).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ti,ab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quantitativ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$ adj2 (review$ or overview or synthesis$)).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ti,ab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(methodologic$ adj2 (review$ or overview or synthesis$)).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ti,ab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(integrative research review$ or research integration).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ti,ab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or/18-24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17 and 25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e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xp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nephrology/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kidney disease/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Nephrolog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$ or kidney$ or renal).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or/27-29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26 and 30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C6B73" w:rsidRPr="001171CB" w:rsidRDefault="007C6B73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limit 31 to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yr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="2006 – 2016”</w:t>
            </w:r>
          </w:p>
        </w:tc>
      </w:tr>
      <w:tr w:rsidR="005B47B2" w:rsidRPr="001171CB" w:rsidTr="00B84447">
        <w:trPr>
          <w:trHeight w:val="366"/>
        </w:trPr>
        <w:tc>
          <w:tcPr>
            <w:tcW w:w="9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NZ"/>
              </w:rPr>
              <w:t>MEDLINE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Epidemiologic studies/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case control studies/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cohort studies/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(cohort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adj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(study or studies)).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5.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Case control.mp.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6.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(cohort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adj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(study or studies)).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7.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Cohort analy$.mp.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8.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(Follow up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adj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(study or studies)).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9.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(observational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adj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(study or studies)).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Longitudinal.mp.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Retrospective.mp.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Cross sectional.mp.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Cross-sectional studies/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or/1-13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review or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review,tutorial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or review, academic).pt.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medline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or medlars or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embase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or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pubmed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or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cochrane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tw,sh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((hand adj2 search$) or (manual$ adj2 search$)).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tw,sh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(electronic database$ or bibliographic database$ or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computeried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 database$ or online database$).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tw,sh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1or/16-18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15 and 19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meta-analysis.pt.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meta-analysis.sh.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(meta-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analys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$ or meta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analys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$ or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metaanalys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$).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tw,sh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(systematic$ adj5 review$).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tw,sh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(systematic$ adj5 overview$).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tw,sh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quantitativ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$ adj5 review$).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tw,sh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quantitativ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$ adj5 overview$).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tw,sh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quantitativ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$ adj5 synthesis$).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tw,sh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(methodologic$ adj5 review$).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tw,sh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(methodologic$ adj5 overview$).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tw,sh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(integrative research review$ or research integration).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tw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or/21-31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33.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19 or 32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34.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14 and 33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35.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Nephrology/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36.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exp Kidney Diseases/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37.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(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Nephrolog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$ or kidney$ or renal).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mp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.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38.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or/35-37</w:t>
            </w:r>
          </w:p>
        </w:tc>
      </w:tr>
      <w:tr w:rsidR="005B47B2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39.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B47B2" w:rsidRPr="001171CB" w:rsidRDefault="00B77DBA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34 and 38</w:t>
            </w:r>
          </w:p>
        </w:tc>
      </w:tr>
      <w:tr w:rsidR="007C6B73" w:rsidRPr="001171CB" w:rsidTr="00B84447">
        <w:trPr>
          <w:trHeight w:val="36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B73" w:rsidRPr="001171CB" w:rsidRDefault="005B47B2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40.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B73" w:rsidRPr="001171CB" w:rsidRDefault="00B77DBA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 xml:space="preserve">limit 39 to </w:t>
            </w:r>
            <w:proofErr w:type="spellStart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yr</w:t>
            </w:r>
            <w:proofErr w:type="spellEnd"/>
            <w:r w:rsidRPr="001171CB">
              <w:rPr>
                <w:rFonts w:ascii="Times New Roman" w:hAnsi="Times New Roman" w:cs="Times New Roman"/>
                <w:sz w:val="22"/>
                <w:szCs w:val="22"/>
                <w:lang w:val="en-NZ"/>
              </w:rPr>
              <w:t>="2006 - 2016"</w:t>
            </w:r>
          </w:p>
        </w:tc>
      </w:tr>
    </w:tbl>
    <w:p w:rsidR="001171CB" w:rsidRPr="001171CB" w:rsidRDefault="001171CB" w:rsidP="00B84447">
      <w:pPr>
        <w:rPr>
          <w:sz w:val="22"/>
          <w:szCs w:val="22"/>
        </w:rPr>
      </w:pPr>
      <w:r w:rsidRPr="001171CB">
        <w:rPr>
          <w:sz w:val="22"/>
          <w:szCs w:val="22"/>
        </w:rPr>
        <w:lastRenderedPageBreak/>
        <w:br w:type="page"/>
      </w:r>
    </w:p>
    <w:p w:rsidR="001171CB" w:rsidRPr="001171CB" w:rsidRDefault="001171CB" w:rsidP="001171CB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171CB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Supplement Table 2-1. </w:t>
      </w:r>
      <w:r w:rsidRPr="001171CB">
        <w:rPr>
          <w:rFonts w:ascii="Times New Roman" w:hAnsi="Times New Roman" w:cs="Times New Roman"/>
          <w:sz w:val="22"/>
          <w:szCs w:val="22"/>
        </w:rPr>
        <w:t>Reference to studies included in or excluded from the meta-analyses to compare the effect estimates between study designs</w:t>
      </w:r>
    </w:p>
    <w:tbl>
      <w:tblPr>
        <w:tblW w:w="907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072"/>
      </w:tblGrid>
      <w:tr w:rsidR="001171CB" w:rsidRPr="001171CB" w:rsidTr="001A1F71">
        <w:trPr>
          <w:trHeight w:val="366"/>
        </w:trPr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References to studies included in the meta-analyses to compare the effect estimates between study designs</w:t>
            </w:r>
          </w:p>
        </w:tc>
      </w:tr>
      <w:tr w:rsidR="001171CB" w:rsidRPr="001171CB" w:rsidTr="001A1F71">
        <w:trPr>
          <w:trHeight w:val="366"/>
        </w:trPr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Zhou X,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Impact of bariatric surgery on renal functions in patients with type 2 diabetes: systematic review of randomized trials and observational studies.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Surg Obes Relat Dis.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12, 1873-1882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Zhou S, Wu C, Song Q, Yang X, Wei Z. Effect of angiotensin-converting enzyme inhibitors in contrast-induced nephropathy: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Nephron.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133, 1-14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Zhao C, et al. Comparison of laparoscopic stone surgery and percutaneous nephrolithotomy in the management of large upper urinary stones: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Urolithiasis.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44, 479-490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Wu P, Wang L, Wang K. Supine versus prone position in percutaneous nephrolithotomy for kidney calculi: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Int Urol Nephrol.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43, 67-77 (2011).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Wierstra BT,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The impact of "early" versus "late" initiation of renal replacement therapy in critical care patients with acute kidney injury: a systematic review and evidence synthesis.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Crit Care.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20, 122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Wang Z, </w:t>
            </w:r>
            <w:r w:rsidRPr="001171CB">
              <w:rPr>
                <w:rFonts w:ascii="Times New Roman" w:hAnsi="Times New Roman" w:cs="Times New Roman" w:hint="eastAsia"/>
                <w:i/>
                <w:iCs/>
                <w:noProof/>
                <w:sz w:val="22"/>
                <w:szCs w:val="22"/>
              </w:rPr>
              <w:t>e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t al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. Partial nephrectomy vs. radical nephrectomy for renal tumors: a meta-analysis of renal function and cardiovascular outcomes.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Urol Oncol.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34, 533.e11-533.e19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Toth-Manikowski SM, Francis JM, Gautam A, Gordon CE. Outcomes of bisphosphonate therapy in kidney transplant recipients: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Clin Transplant.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30, 1090-1096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Shaw C, Nitsch D, Lee J, Fogarty D, Sharpe CC. Impact of an Early Invasive Strategy versus conservative strategy for unstable angina and non-ST elevation acute coronary syndrome in patients with chronic kidney disease: a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PLoS One.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11, e0153478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Mi Y,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Flexible ureterorenoscopy (F-URS) with holmium laser versus extracorporeal shock wave lithotripsy (ESWL) for treatment of renal stone &lt;2 cm: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Urolithiasis.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44, 353-365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Khawaja AZ,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Systematic review of drug eluting balloon angioplasty for arteriovenous haemodialysis access stenosis.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J Vasc Access.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17, 103-110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Ipema KJ,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Nutritional status in nocturnal hemodialysis patients - a systematic review with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PLoS One.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11, e0157621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Hameed AM, Pleass HC, Wong G, Hawthorne WJ. Maximizing kidneys for transplantation using machine perfusion: from the past to the future: a comprehensive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Medicine (Baltimore)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. 95, e5083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Cheungpasitporn W, Rossetti S, Friend K, Erickson SB, Lieske JC. Treatment effect, adherence, and safety of high fluid intake for the prevention of incident and recurrent kidney stones: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J Nephrol.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29, 211-219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Thongprayoon C, Cheungpasitporn W, Vijayvargiya P, Anthanont P, Erickson SB. The risk of kidney stones following bariatric surgery: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Ren Fail.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38, 424-430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Zhang L,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 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Extended daily dialysis versus continuous renal replacement therapy for acute kidney injury: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Am J Kidney Dis.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66, 322-330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Yanik EL, Siddiqui K, Engels EA. Sirolimus effects on cancer incidence after kidney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t xml:space="preserve">transplantation: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Cancer Med.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4, 1448-1459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Yang Q, Shi Y, Yang Y, Lou G, Lv F. Association between adefovir dipivoxil treatment and the risk of renal insufficiency in patients with chronic hepatitis B: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Biomed Rep.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3, 269-275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Wu Z, et al. The effect of renin-angiotensin-aldosterone system blockade medications on contrast-induced nephropathy in patients undergoing coronary angiography: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PLoS One.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10, e0129747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Wang SM, et al. Multidisciplinary care in patients with chronic kidney disease: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Eur J Intern Med.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26, 640-645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Wang J, Gu C, Gao M, Yu W, Yu Y. Preoperative statin therapy and renal outcomes after cardiac surgery: a meta-analysis and meta-regression of 59,771 Patients.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Can J Cardiol.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31, 1051-1060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Velazquez N,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et al.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Medical expulsive therapy for pediatric urolithiasis: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J Pediatr Urol.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11, 321-327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Tian ML, Hu Y, Yuan J, Zha Y. Efficacy and safety of perioperative sodium bicarbonate therapy for cardiac surgery-associated acute kidney injury: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J Cardiovasc Pharmacol.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65, 130-136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Thongprayoon C,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et al.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Acute kidney injury after transcatheter aortic valve replacement: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Nephrol.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41, 372-382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Thamcharoen N, Thongprayoon C, Edmonds PJ, Cheungpasitporn W. Periprocedural nebivolol for the prevention of contrast-induced acute kidney injury: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N Am J Med Sci.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7, 446-451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Sarathy H,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The effects of short-term vitamin D supplementation on glucose metabolism in dialysis patients: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Int Urol Nephrol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. 47, 537-549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Liu LL,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. Tonsillectomy for IgA nephropathy: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Kidney Dis.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80-87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Hanrahan T, Whitehouse T, Lipman J, Roberts JA. Vancomycin-associated nephrotoxicity: a meta-analysis of administration by continuous versus intermittent infusion.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Int J Antimicrob Agents.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46, 249-253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Fu N,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A meta-analysis of stent placement vs. angioplasty for dialysis vascular access stenosis.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Semin Dial.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28, 311-317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Cooper J, Power AH, DeRose G, Forbes TL, Dubois L. Similar failure and patency rates when comparing one- and two-stage basilic vein transposition.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J Vasc Surg.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61, 809-816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Cheungpasitporn W, et al. Preoperative renin-angiotensin system inhibitors use linked to reduced acute kidney injury: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Nephrol Dial Transplant.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30, 978-988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Bolignano D, D'Arrigo G, Pisano A, Coppolino G. Pentoxifylline for anemia in chronic kidney disease: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PLoS One.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10, e0134104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Bashar K,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. One-stage vs. two-stage brachio-basilic arteriovenous fistula for dialysis access: a systematic review and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PLoS One.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10, e0120154</w:t>
            </w:r>
            <w:r w:rsidRPr="001171CB">
              <w:rPr>
                <w:rFonts w:ascii="Times New Roman" w:hAnsi="Times New Roman" w:cs="Times New Roman" w:hint="eastAsia"/>
                <w:noProof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(2015)</w:t>
            </w:r>
            <w:r w:rsidRPr="001171CB">
              <w:rPr>
                <w:rFonts w:ascii="Times New Roman" w:hAnsi="Times New Roman" w:cs="Times New Roman" w:hint="eastAsia"/>
                <w:noProof/>
                <w:sz w:val="22"/>
                <w:szCs w:val="22"/>
              </w:rPr>
              <w:t>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Zhang XL,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Statin use and risk of kidney cancer: a meta-analysis of observational studies and randomized trials.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Br J Clin Pharmacol.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77, 458-465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Pan SY,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Effect of preoperative statin therapy on postoperative acute kidney injury in patients undergoing major surgery: systemic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Nephrology (Carlton).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19, 750-763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t>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color w:val="212121"/>
                <w:sz w:val="22"/>
                <w:szCs w:val="22"/>
                <w:shd w:val="clear" w:color="auto" w:fill="FFFFFF"/>
              </w:rPr>
              <w:t xml:space="preserve">Liu Y, </w:t>
            </w:r>
            <w:proofErr w:type="spellStart"/>
            <w:r w:rsidRPr="001171CB">
              <w:rPr>
                <w:rFonts w:ascii="Times New Roman" w:hAnsi="Times New Roman" w:cs="Times New Roman"/>
                <w:color w:val="212121"/>
                <w:sz w:val="22"/>
                <w:szCs w:val="22"/>
                <w:shd w:val="clear" w:color="auto" w:fill="FFFFFF"/>
              </w:rPr>
              <w:t>Davari</w:t>
            </w:r>
            <w:proofErr w:type="spellEnd"/>
            <w:r w:rsidRPr="001171CB">
              <w:rPr>
                <w:rFonts w:ascii="Times New Roman" w:hAnsi="Times New Roman" w:cs="Times New Roman"/>
                <w:color w:val="212121"/>
                <w:sz w:val="22"/>
                <w:szCs w:val="22"/>
                <w:shd w:val="clear" w:color="auto" w:fill="FFFFFF"/>
              </w:rPr>
              <w:t xml:space="preserve">-Farid S, Arora P, </w:t>
            </w:r>
            <w:proofErr w:type="spellStart"/>
            <w:r w:rsidRPr="001171CB">
              <w:rPr>
                <w:rFonts w:ascii="Times New Roman" w:hAnsi="Times New Roman" w:cs="Times New Roman"/>
                <w:color w:val="212121"/>
                <w:sz w:val="22"/>
                <w:szCs w:val="22"/>
                <w:shd w:val="clear" w:color="auto" w:fill="FFFFFF"/>
              </w:rPr>
              <w:t>Porhomayon</w:t>
            </w:r>
            <w:proofErr w:type="spellEnd"/>
            <w:r w:rsidRPr="001171CB">
              <w:rPr>
                <w:rFonts w:ascii="Times New Roman" w:hAnsi="Times New Roman" w:cs="Times New Roman"/>
                <w:color w:val="212121"/>
                <w:sz w:val="22"/>
                <w:szCs w:val="22"/>
                <w:shd w:val="clear" w:color="auto" w:fill="FFFFFF"/>
              </w:rPr>
              <w:t xml:space="preserve"> J, Nader ND.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Early versus late initiation of renal replacement therapy in critically ill patients with acute kidney injury after cardiac surgery: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J Cardiothorac Vasc Anesth.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28, 557-563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Katsanos K,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 et al.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Systematic review and meta-analysis of thermal ablation versus surgical nephrectomy for small renal tumours.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Cardiovasc Intervent Radiol.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37, 427-437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Alberts VP, Idu MM, Legemate DA, Laguna Pes MP, Minnee RC. Ureterovesical anastomotic techniques for kidney transplantation: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Transpl Int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. 27, 593-605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Wang ZJ,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. Drug-eluting stents versus bare-metal stents in patients with decreased GFR: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Kidney Dis.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62, 711-721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Schneider AG,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Choice of renal replacement therapy modality and dialysis dependence after acute kidney injury: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Intensive Care Med.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39, 987-997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Jin HM, Guo LL, Zhan XL, Pan Y. Effect of prolonged weekly hemodialysis on survival of maintenance hemodialysis patients: a meta-analysis of studies.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Nephron Clin Pract.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123, 220-228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color w:val="000000" w:themeColor="text1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Hagen SM, </w:t>
            </w:r>
            <w:proofErr w:type="spellStart"/>
            <w:r w:rsidRPr="001171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Lafranca</w:t>
            </w:r>
            <w:proofErr w:type="spellEnd"/>
            <w:r w:rsidRPr="001171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JA, </w:t>
            </w:r>
            <w:proofErr w:type="spellStart"/>
            <w:r w:rsidRPr="001171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Steyerberg</w:t>
            </w:r>
            <w:proofErr w:type="spellEnd"/>
            <w:r w:rsidRPr="001171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EW, </w:t>
            </w:r>
            <w:proofErr w:type="spellStart"/>
            <w:r w:rsidRPr="001171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Ĳzermans</w:t>
            </w:r>
            <w:proofErr w:type="spellEnd"/>
            <w:r w:rsidRPr="001171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JN, </w:t>
            </w:r>
            <w:proofErr w:type="spellStart"/>
            <w:r w:rsidRPr="001171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Dor</w:t>
            </w:r>
            <w:proofErr w:type="spellEnd"/>
            <w:r w:rsidRPr="001171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FJ. </w:t>
            </w:r>
            <w:r w:rsidRPr="001171CB">
              <w:rPr>
                <w:rFonts w:ascii="Times New Roman" w:hAnsi="Times New Roman" w:cs="Times New Roman"/>
                <w:noProof/>
                <w:color w:val="000000" w:themeColor="text1"/>
                <w:sz w:val="22"/>
                <w:szCs w:val="22"/>
              </w:rPr>
              <w:t xml:space="preserve">Laparoscopic versus open peritoneal dialysis catheter insertion: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color w:val="000000" w:themeColor="text1"/>
                <w:sz w:val="22"/>
                <w:szCs w:val="22"/>
              </w:rPr>
              <w:t>PLoS One.</w:t>
            </w:r>
            <w:r w:rsidRPr="001171CB">
              <w:rPr>
                <w:rFonts w:ascii="Times New Roman" w:hAnsi="Times New Roman" w:cs="Times New Roman"/>
                <w:noProof/>
                <w:color w:val="000000" w:themeColor="text1"/>
                <w:sz w:val="22"/>
                <w:szCs w:val="22"/>
              </w:rPr>
              <w:t>8, e56351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Fan X,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. Comparison of transperitoneal and retroperitoneal laparoscopic nephrectomy for renal cell carcinoma: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BJU Int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. 111, 611-621(2013).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color w:val="212121"/>
                <w:sz w:val="22"/>
                <w:szCs w:val="22"/>
                <w:shd w:val="clear" w:color="auto" w:fill="FFFFFF"/>
              </w:rPr>
              <w:t xml:space="preserve">Deo SV, </w:t>
            </w:r>
            <w:r w:rsidRPr="001171CB">
              <w:rPr>
                <w:rFonts w:ascii="Times New Roman" w:hAnsi="Times New Roman" w:cs="Times New Roman"/>
                <w:i/>
                <w:iCs/>
                <w:color w:val="212121"/>
                <w:sz w:val="22"/>
                <w:szCs w:val="22"/>
                <w:shd w:val="clear" w:color="auto" w:fill="FFFFFF"/>
              </w:rPr>
              <w:t xml:space="preserve">et al.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Myocardial revascularisation in renal dysfunction: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Heart Lung Circ.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22, 827-835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color w:val="212121"/>
                <w:sz w:val="22"/>
                <w:szCs w:val="22"/>
                <w:shd w:val="clear" w:color="auto" w:fill="FFFFFF"/>
              </w:rPr>
              <w:t xml:space="preserve">Davis MI,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. Effectiveness of renal denervation therapy for resistant hypertension: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J Am Coll Cardiol.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62, 231-241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Chionh CY, Soni SS, Finkelstein FO, Ronco C, Curz DN. Use of peritoneal dialysis in AKI: a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Clin J Am Soc Nephrol.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8, 1649-1660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Almeida CC,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Safety of immunosuppressive drugs used as maintenance therapy in kidney transplantation: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Pharmaceuticals (Basel).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6, 1170-1194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Bathini V, McGregor T, McAlister VC, Luke PPW, Sener A. Renal perfusion pump vs cold storage for donation after cardiac death kidneys: a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J Urol.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189, 2214-2220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Wang X, Yuan WJ. Timing of initiation of renal replacement therapy in acute kidney injury: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Ren Fail.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34, 396-402 (2012).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Slagt IKB, Klop KWJ, Ijzermans JNM, Terkivatan T. Intravesical versus extravesical ureteroneocystostomy in kidney transplantation: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Transplantation.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94, 1179-1184 (2012).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Pan Y, Xu XD, Guo LL, Cai LL, Jin HM. Association of early versus late initiation of dialysis with mortality: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Nephron Clin Pract.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120, c121-131 (2012).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Karvellas CJ,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 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A comparison of early versus late initiation of renal replacement therapy in critically ill patients with acute kidney injury: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Crit Care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. 15, R72 (2011).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Liu L, Zheng S, Xu Y, Wei Q. Systematic review and meta­analysis of percutaneous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t xml:space="preserve">nephrolithotomy for patients in the supine versus prone position.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J Endourol.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24, 1941-1946 (2010).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Asrani SK,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et al.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Use of sirolimus in liver transplant recipients with renal insufficiency: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Hepatology.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52, 1360-1370 (2010).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Nigwekar SU, Kandula P, Hix JK, Thakar CV. Off-pump coronary artery bypass surgery and acute kidney injury: a meta-analysis of randomized and observational studies.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Kidney Dis.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54, 413-423 (2009).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Murad MH,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Autogenous versus prosthetic vascular access for hemodialysis: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J Vasc Surg.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48, 34S-47S (2008).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1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Thomas G,</w:t>
            </w:r>
            <w:r w:rsidR="001A1F71">
              <w:rPr>
                <w:rFonts w:ascii="Times New Roman" w:hAnsi="Times New Roman" w:cs="Times New Roman" w:hint="eastAsia"/>
                <w:noProof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et al.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Insulin therapy and acute kidney injury in critically ill patients a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Nephrol Dial Transplant.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22, 2849-2855 (2007).</w:t>
            </w:r>
          </w:p>
        </w:tc>
      </w:tr>
      <w:tr w:rsidR="001171CB" w:rsidRPr="001171CB" w:rsidTr="001A1F71">
        <w:trPr>
          <w:trHeight w:val="366"/>
        </w:trPr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pStyle w:val="EndNoteBibliography"/>
              <w:tabs>
                <w:tab w:val="left" w:pos="709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References to studies excluded from the meta-analyses to compare the effect estimates between study designs</w:t>
            </w:r>
          </w:p>
        </w:tc>
      </w:tr>
      <w:tr w:rsidR="001171CB" w:rsidRPr="001171CB" w:rsidTr="001A1F71">
        <w:trPr>
          <w:trHeight w:val="366"/>
        </w:trPr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Xia X,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</w:t>
            </w:r>
            <w:r w:rsidRPr="001171CB">
              <w:rPr>
                <w:rFonts w:ascii="Times New Roman" w:hAnsi="Times New Roman" w:cs="Times New Roman" w:hint="eastAsia"/>
                <w:i/>
                <w:iCs/>
                <w:noProof/>
                <w:sz w:val="22"/>
                <w:szCs w:val="22"/>
              </w:rPr>
              <w:t>.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Serum uric acid and mortality in chronic kidney disease: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Metabolism.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65, 1326-1341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Wang H, Man L, Li G, Huang G, Liu N. Association between serum vitamin D levels and the risk of kidney stone: evidence from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Nutr J.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15, 32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Tullavardhana T, Akranurakkul P, Ungkitphaiboon W, Songtish D. Surgical versus percutaneous techniques for peritoneal dialysis catheter placement: a meta-analysis of the outcomes.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Ann Med Surg (Lond).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10, 11-28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Terpstra ML, Singh R, Geerlings SE, Bemelman FJ. Measurement of the intestinal permeability in chronic kidney disease.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World J Nephrol.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5, 378-388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Ramesh S,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et al.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Hormone therapy and clinical and surrogate cardiovascular endopoints in women with chronic kidney disease: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Menopause.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23, 1028-1037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Pierorazio PM,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Management of Renal Masses and Localized Renal Cancer: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J Urol.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196, 989-999 </w:t>
            </w:r>
            <w:r w:rsidRPr="001171CB">
              <w:rPr>
                <w:rFonts w:ascii="Times New Roman" w:hAnsi="Times New Roman" w:cs="Times New Roman" w:hint="eastAsia"/>
                <w:noProof/>
                <w:sz w:val="22"/>
                <w:szCs w:val="22"/>
              </w:rPr>
              <w:t>(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2016)</w:t>
            </w:r>
            <w:r w:rsidRPr="001171CB">
              <w:rPr>
                <w:rFonts w:ascii="Times New Roman" w:hAnsi="Times New Roman" w:cs="Times New Roman" w:hint="eastAsia"/>
                <w:noProof/>
                <w:sz w:val="22"/>
                <w:szCs w:val="22"/>
              </w:rPr>
              <w:t>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Devoe DJ,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Patient education and peritoneal dialysis modality selection: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Kidney Dis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. 68, 422-433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Chan HL, Shaikh J, Gupta S, Hamed K. Renal function in nucleos(t)ide analog-treated patients with chronic hepatitis B: a systematic literature review and network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Adv Ther.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33, 862-875 (2016).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Chen Y, Shao Y, Xu J. The survival and complication rates of laparoscopic versus open catheter placement in peritoneal dialysis patients: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Surg Laparosc Endosc Percutan Tech.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25, 440-443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Yang B,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Non-pharmacological interventions for improving sleep quality in patients on dialysis: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Sleep Med Rev.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23, 68-82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Sanguankeo A, Upala S, Cheungpasitporn W, Ungprasert P, Knight EL. Effects of statins on renal outcome in chronic kidney disease patients: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PLoS One.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10, e0132970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Salerno F, Navickis RJ, Wilkes MM. Albumin treatment regimen for type 1 hepatorenal syndrome: a dose-response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BMC Gastroenterol.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15, 167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Masson P,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Chronic kidney disease and the risk of stroke: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Nephrol Dial Transplant.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30, 1162-1169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t xml:space="preserve">Derakhshanian H, Shab-Bidar S, Speakman JR, Nadimi H, Djafarian K. Vitamin D and diabetic nephropathy: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Nutrition.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31, 1189-1194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Chokhandre MK, Mahmoud MI, Hakami T, Jafer M, Inamdar AS. Vitamin D &amp; its analogues in type 2 diabetic nephropathy: a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J Diabetes Metab Disord.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14, 58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Chen J, Zhou QY, Wang JD. Comparison between subtotal parathyroidectomy and total parathyroidectomy with autotransplantation for secondary hyperparathyroidism in patients with chronic renal failure: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Horm Metab Res.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47, 643-651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Chao-yang C, Xuai-yan S, Ying Z, Xia Z, Yi-min C. Efficacy and safety of tacrolimus for treating idiopathic nephrotic syndrome: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Chinese Journal of New Drugs.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24, 64-73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Asghar W, Jamali F. The effect of COX-2-selective meloxicam on the myocardial, vascular and renal risks: a systematic review.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 Inflammopharmacol.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23, 1-16 (2015).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Stanifer JW, et al. The epidemiology of chronic kidney disease in sub-Saharan Africa: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The Lancet Global Health.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2, e174-81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Xing S, Yang J, Zhang X, Zhou P. Comparative efficacy and safety of mizoribine with mycophenolate mofetil for Asian renal transplantation--a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Clin Biochem.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47, 663-669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Wong B,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Buttonhole versus rope-ladder cannulation of arteriovenous fistulas for hemodialysis: a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Am J Kidney Dis.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64, 918-936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Muir CA,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. Buttonhole cannulation and clinical outcomes in a home hemodialysis cohort and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Clin J Am Soc Nephrol.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9, 110-119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Liu N, Wazir R, Wang J, Wang KJ. Maximizing the donor pool: left versus right laparoscopic live donor nephrectomy--systematic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Int Urol Nephrol.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46, 1511-1519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Kwok CS,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Renal denervation and blood pressure reduction in resistant hypertension: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Open Heart.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1, e000092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Hill CJ,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Glycated hemoglobin and risk of death in diabetic patients treated with hemodialysis: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Kidney Dis.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63, 84-94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Fleeman N,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Allopurinol for the treatment of chronic kidney disease: a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Health Technol Assess.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18, 1-77, v-vi (2014).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Zimmerman DL,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Dialysate calcium concentration and mineral metabolism in long and long-frequent hemodialysis: a systematic review and meta-analysis for a Canadian Society of Nephrology clinical practice guideline.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Kidney Dis.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62, 97-111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Moos SI, van Vemde DN, Stoker J, Bipat S. Contrast induced nephropathy in patients undergoing intravenous (IV) contrast enhanced computed tomography (CECT) and the relationship with risk factors: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Eur J Radiol.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82, e387-399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Ho ET, Wong G, Craig JC, Chapman JR. Once-daily extended-release versus twice-daily standard-release tacrolimus in kidney transplant recipients: a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Transplantation.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95, 1120-1128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Hiremath SB, Srinivas LD. Survival benefits of terlipressin and non-responder state in hepatorenal syndrome: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Indian J Pharmacol.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45, 54-60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Garg N,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. Cardiac resynchronization therapy in CKD: a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Clin J Am Soc Nephrol.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8, 1293-1303 (2013).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Xie H, Zhang W, Cheng J, He Q. Laparoscopic versus open catheter placement in peritoneal dialysis patients: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BMC Nephrol.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13, 69 (2012).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t xml:space="preserve">Wyld M, Morton RL, Hayen A, Howard K, Webster AC. A systematic review and meta-analysis of utility-based quality of life in chronic kidney disease treatments.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PLoS Med.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9, e1001307 (2012).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Susantitaphong P, Koulouridis I, Balk EM, Madias NE, Jaber BL. Effect of frequent or extended hemodialysis on cardiovascular parameters: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Kidney Dis.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59, 689-699 (2012).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Susantitaphong P,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et al.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GFR at initiation of dialysis and mortality in CKD: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Kidney Dis.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59, 829-840 (2012).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Rodriguez-Peralvarez M,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Tacrolimus trough levels, rejection and renal impairment in liver transplantation: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Transplant.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12, 2797-2814 (2012).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Feng B,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Effect of interferon-alpha-based antiviral therapy on hepatitis C virus-associated glomerulonephritis: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Nephrol Dial Transplant.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27, 640-646 (2012).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Fabrizi F, Dixit V, Martin P, Messa P. Erythropoietin use and immunogenicity of hepatitis B virus vaccine in chronic kidney disease patients: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Kidney Blood Press Res.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35, 504-510 (2012).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Corapi KM, Chen JL, Balk EM, Gordon CE. Bleeding complications of native kidney biopsy: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Am J Kidney Dis.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60, 62-73 (2012).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Zhang T, Shen LH, Hu LH, He B. Statins for the prevention of contrast-induced nephropathy: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Am J Nephrol.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33, 344-351 (2011).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Mafham M, Emberson J, Landray MJ, Wen CP, Baigent C. Estimated glomerular filtration rate and the risk of major vascular events and all-cause mortality: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PLoS One.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6, e25920 (2011).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Kandula P,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Vitamin D supplementation in chronic kidney disease: a systematic review and meta-analysis of observational studies and randomized controlled trials.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Clin J Am Soc Nephrol.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6, 50-62 (2011).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Currie AC, Knight SR, Morris PJ. Tuberculosis in renal transplant recipients: the evidence for prophylaxis.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Transplantation.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90, 695-704 (2010).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Afshinnia F, Wilt TJ, Duval S, Esmaeili A, Ibrahim HN. Weight loss and proteinuria: systematic review of clinical trials and comparative cohorts.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Nephrol Dial Transplant.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25, 1173-1183 (2010).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Yarlagadda SG, Coca SG, Formica RN Jr, Poggio ED, Parikh CR. Association between delayed graft function and allograft and patient survival: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Nephrol Dial Transplant.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24, 1039-1047 (2009).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Navaneethan SD,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Weight loss interventions in chronic kidney disease: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Clin J Am Soc Nephrol.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4, 1565-1574 (2009).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Heinz J, Kropf S, Luley C, Dierkes J. Homocysteine as a risk factor for cardiovascular disease in patients treated by dialysis: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Kidney Dis.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54, 478-489 (2009).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Bonafont X,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A meta-analysis of the relative doses of erythropoiesis-stimulating agents in patients undergoing dialysis.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NDT Plus.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2, 347-353 (2009).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Seabra VF,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Timing of renal replacement therapy initiation in acute renal failure: a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Am J Kidney Dis.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52, 272-284 (2008).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Pannu N,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et al.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Renal replacement therapy in patients with acute renal failure: a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JAMA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. 299, 793-805 (2008).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Gordon CE,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Interferon treatment in hemodialysis patients with chronic hepatitis C virus infection: a systematic review of the literature and meta-analysis of treatment efficacy and harms.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Kidney Dis.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51, 263-277 (2008).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t xml:space="preserve">Damman K,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. Worsening renal function and prognosis in heart failure: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J Card Fail.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13, 599-608 (2007).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Coca SG, Peixoto AJ, Garg AX, Krumholz HM, Parikh CR. The prognostic importance of a small acute decrement in kidney function in hospitalized patients: a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Am J Kidney Dis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. 50, 712-720 (2007).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Tonelli M,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et al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. Chronic kidney disease and mortality risk: a systematic review.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J Am Soc Nephrol.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17, 2034-2047 (2006).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Smith GL,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et al.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Renal impairment and outcomes in heart failure: systematic review and meta-analysis.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>J Am Coll Cardiol.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47, 1987-1996 (2006).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Mulay AV, Cockfield S, Stryker R, Fergusson D, Knoll GA. Conversion from calcineurin inhibitors to sirolimus for chronic renal allograft dysfunction: a systematic review of the evidence.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Transplantation.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82, 1153-1162 (2006).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Moore RA, Derry S. Systematic review and meta-analysis of randomised trials and cohort studies of mycophenolate mofetil in lupus nephritis. 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Arthritis Res Ther. 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8, R182 (2006).</w:t>
            </w:r>
          </w:p>
          <w:p w:rsidR="001171CB" w:rsidRPr="001171CB" w:rsidRDefault="001171CB" w:rsidP="001A1F71">
            <w:pPr>
              <w:pStyle w:val="EndNoteBibliography"/>
              <w:numPr>
                <w:ilvl w:val="0"/>
                <w:numId w:val="5"/>
              </w:numPr>
              <w:tabs>
                <w:tab w:val="left" w:pos="709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Lim W, Dentali F, Eikelboom JW, Crowther MA. Meta-analysis: low-molecular-weight heparin and bleeding in patients with severe renal insufficienecy.</w:t>
            </w:r>
            <w:r w:rsidRPr="001171CB">
              <w:rPr>
                <w:rFonts w:ascii="Times New Roman" w:hAnsi="Times New Roman" w:cs="Times New Roman"/>
                <w:i/>
                <w:iCs/>
                <w:noProof/>
                <w:sz w:val="22"/>
                <w:szCs w:val="22"/>
              </w:rPr>
              <w:t xml:space="preserve"> Ann Intern Med</w:t>
            </w: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. 144, 673-684 (2006).</w:t>
            </w:r>
          </w:p>
        </w:tc>
      </w:tr>
    </w:tbl>
    <w:p w:rsidR="001171CB" w:rsidRPr="001171CB" w:rsidRDefault="001171CB" w:rsidP="001171CB">
      <w:pPr>
        <w:pStyle w:val="EndNoteBibliography"/>
        <w:tabs>
          <w:tab w:val="left" w:pos="709"/>
        </w:tabs>
        <w:ind w:left="420"/>
        <w:rPr>
          <w:rFonts w:ascii="Times New Roman" w:hAnsi="Times New Roman" w:cs="Times New Roman"/>
          <w:noProof/>
          <w:sz w:val="22"/>
          <w:szCs w:val="22"/>
        </w:rPr>
      </w:pPr>
    </w:p>
    <w:p w:rsidR="001171CB" w:rsidRPr="001171CB" w:rsidRDefault="001171CB" w:rsidP="001171CB">
      <w:pPr>
        <w:pStyle w:val="EndNoteBibliography"/>
        <w:tabs>
          <w:tab w:val="left" w:pos="709"/>
        </w:tabs>
        <w:rPr>
          <w:rFonts w:ascii="Times New Roman" w:hAnsi="Times New Roman" w:cs="Times New Roman"/>
          <w:b/>
          <w:bCs/>
          <w:sz w:val="22"/>
          <w:szCs w:val="22"/>
        </w:rPr>
      </w:pPr>
      <w:r w:rsidRPr="001171CB">
        <w:rPr>
          <w:rFonts w:ascii="Times New Roman" w:hAnsi="Times New Roman" w:cs="Times New Roman"/>
          <w:b/>
          <w:bCs/>
          <w:sz w:val="22"/>
          <w:szCs w:val="22"/>
        </w:rPr>
        <w:br w:type="page"/>
      </w:r>
    </w:p>
    <w:p w:rsidR="001171CB" w:rsidRPr="001171CB" w:rsidRDefault="001171CB" w:rsidP="001171CB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171CB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Supplement Table 2-2. </w:t>
      </w:r>
      <w:r w:rsidRPr="001171CB">
        <w:rPr>
          <w:rFonts w:ascii="Times New Roman" w:hAnsi="Times New Roman" w:cs="Times New Roman"/>
          <w:sz w:val="22"/>
          <w:szCs w:val="22"/>
        </w:rPr>
        <w:t>Characteristics of excluded studies</w:t>
      </w:r>
    </w:p>
    <w:tbl>
      <w:tblPr>
        <w:tblW w:w="929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912"/>
        <w:gridCol w:w="6378"/>
      </w:tblGrid>
      <w:tr w:rsidR="001171CB" w:rsidRPr="001171CB" w:rsidTr="001A1F71">
        <w:trPr>
          <w:trHeight w:val="366"/>
        </w:trPr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b/>
                <w:bCs/>
                <w:color w:val="000000"/>
                <w:sz w:val="22"/>
                <w:szCs w:val="22"/>
              </w:rPr>
              <w:t>Study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NZ"/>
              </w:rPr>
              <w:t>Reason for exclusion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Xia 2016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Wang 2016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Tullavardhana 2016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not included </w:t>
            </w: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randomized control trials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Terpstra 2016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Ramesh 2016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specific research questions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Pierorazio 2016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specific research questions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Devoe 2016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included before-after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Chan 2016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network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Chen 2015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specific research questions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Yang 2015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included observational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Sanguankeo 2015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included observational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Salerno 2015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multiple comparisons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Masson 2015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Derakhshanian 2015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specific research questions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Chokhandre 2015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included before-after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Chen 2015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not included </w:t>
            </w: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randomized control trials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Chao-yang 2015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included case series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Asghar 2015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64" w:lineRule="auto"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multiple comparisons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Stanifer 2014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Xing 2014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unclear data of primary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Wong 2014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included before-after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Muir 2014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included before-after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Liu 2014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not included </w:t>
            </w: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randomized control trials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Kwok 2014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included observational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Hill 2014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Fleeman 2014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included observational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Zimmerman 2013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specific research questions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Moos 2013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specific research questions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Ho 2013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specific research questions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Hiremath 2013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inappropriate effect indicators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Garg 2013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specific research questions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Xie</w:t>
            </w:r>
            <w:proofErr w:type="spellEnd"/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2012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specific research questions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Wyld</w:t>
            </w:r>
            <w:proofErr w:type="spellEnd"/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2012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specific research questions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Susantitaphong 2012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included single arm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Susantitaphong 2012 (2)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Rodriguez-Peralvarez 2012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included observational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lastRenderedPageBreak/>
              <w:t>Feng 2012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not included </w:t>
            </w: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randomized control trials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Fabrizi 2012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unclear data of primary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Corapi 2012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inappropriate effect indicators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Zhang 2011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included observational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Mafham 2011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Kandula 2011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included before-after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Currie 2010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included observational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Afshinnia 2010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included single arm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Yarlagadda 2009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Navaneethan 2009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included before-after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Heinz 2009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specific research questions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Bonafont 2009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inappropriate effect indicators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Seabra 2008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included single arm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Pannu 2008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not included observational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Gordon 2008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inappropriate effect indicators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Damman 2007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Coca 2007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Tonelli 2006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Smith 2006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not interventional studies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Mulay 2006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included single arm studies in meta-analyses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Moore 2006</w:t>
            </w:r>
          </w:p>
        </w:tc>
        <w:tc>
          <w:tcPr>
            <w:tcW w:w="637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inappropriate effect indicators</w:t>
            </w:r>
          </w:p>
        </w:tc>
      </w:tr>
      <w:tr w:rsidR="001171CB" w:rsidRPr="001171CB" w:rsidTr="001A1F71">
        <w:trPr>
          <w:trHeight w:val="366"/>
        </w:trPr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noProof/>
                <w:sz w:val="22"/>
                <w:szCs w:val="22"/>
              </w:rPr>
              <w:t>Lim 2006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171CB" w:rsidRPr="001171CB" w:rsidRDefault="001171CB" w:rsidP="001A1F71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  <w:lang w:val="en-NZ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inappropriate effect indicators</w:t>
            </w:r>
          </w:p>
        </w:tc>
      </w:tr>
    </w:tbl>
    <w:p w:rsidR="001171CB" w:rsidRPr="001171CB" w:rsidRDefault="001171CB" w:rsidP="001171CB">
      <w:pPr>
        <w:rPr>
          <w:rFonts w:ascii="Times New Roman" w:hAnsi="Times New Roman" w:cs="Times New Roman"/>
          <w:sz w:val="22"/>
          <w:szCs w:val="22"/>
        </w:rPr>
      </w:pPr>
    </w:p>
    <w:p w:rsidR="001171CB" w:rsidRPr="001171CB" w:rsidRDefault="001171CB" w:rsidP="00B84447">
      <w:pPr>
        <w:rPr>
          <w:sz w:val="22"/>
          <w:szCs w:val="22"/>
        </w:rPr>
      </w:pPr>
      <w:r w:rsidRPr="001171CB">
        <w:rPr>
          <w:sz w:val="22"/>
          <w:szCs w:val="22"/>
        </w:rPr>
        <w:br w:type="page"/>
      </w:r>
    </w:p>
    <w:p w:rsidR="001171CB" w:rsidRPr="001171CB" w:rsidRDefault="001171CB" w:rsidP="00B84447">
      <w:pPr>
        <w:rPr>
          <w:sz w:val="22"/>
          <w:szCs w:val="22"/>
        </w:rPr>
        <w:sectPr w:rsidR="001171CB" w:rsidRPr="001171CB" w:rsidSect="00B84447">
          <w:pgSz w:w="11900" w:h="16840"/>
          <w:pgMar w:top="1418" w:right="1418" w:bottom="1418" w:left="1418" w:header="851" w:footer="992" w:gutter="0"/>
          <w:cols w:space="425"/>
          <w:docGrid w:type="linesAndChars" w:linePitch="318" w:charSpace="-820"/>
        </w:sectPr>
      </w:pPr>
    </w:p>
    <w:p w:rsidR="001171CB" w:rsidRPr="001171CB" w:rsidRDefault="001171CB" w:rsidP="001171CB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171CB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Supplement Table 3. </w:t>
      </w:r>
      <w:r w:rsidRPr="001171CB">
        <w:rPr>
          <w:rFonts w:ascii="Times New Roman" w:hAnsi="Times New Roman" w:cs="Times New Roman"/>
          <w:sz w:val="22"/>
          <w:szCs w:val="22"/>
        </w:rPr>
        <w:t>Trends in the number of published meta-analyses of observational studies over the past decades by country</w:t>
      </w:r>
    </w:p>
    <w:tbl>
      <w:tblPr>
        <w:tblW w:w="5000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695"/>
        <w:gridCol w:w="942"/>
        <w:gridCol w:w="942"/>
        <w:gridCol w:w="944"/>
        <w:gridCol w:w="941"/>
        <w:gridCol w:w="944"/>
        <w:gridCol w:w="941"/>
        <w:gridCol w:w="941"/>
        <w:gridCol w:w="944"/>
        <w:gridCol w:w="941"/>
        <w:gridCol w:w="944"/>
        <w:gridCol w:w="941"/>
        <w:gridCol w:w="944"/>
      </w:tblGrid>
      <w:tr w:rsidR="001171CB" w:rsidRPr="001171CB" w:rsidTr="001A1F71">
        <w:trPr>
          <w:trHeight w:val="360"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2006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2007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2008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2009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2010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2011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2012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2013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2014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2015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2016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center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Total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China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63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212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Other Asian countries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11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USA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86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Canada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32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UK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30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Italy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19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Netherland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9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Other European countries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kern w:val="0"/>
                <w:sz w:val="22"/>
                <w:szCs w:val="22"/>
              </w:rPr>
              <w:t>2</w:t>
            </w: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9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Australia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kern w:val="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9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NZ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Brazil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Other Latin America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Middle East/Africa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6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Southeast Asia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</w:tr>
      <w:tr w:rsidR="001171CB" w:rsidRPr="001171CB" w:rsidTr="001A1F71">
        <w:trPr>
          <w:trHeight w:val="360"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65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75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106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105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1CB" w:rsidRPr="001171CB" w:rsidRDefault="001171CB" w:rsidP="001A1F71">
            <w:pPr>
              <w:widowControl/>
              <w:jc w:val="right"/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kern w:val="0"/>
                <w:sz w:val="22"/>
                <w:szCs w:val="22"/>
              </w:rPr>
              <w:t>477</w:t>
            </w:r>
          </w:p>
        </w:tc>
      </w:tr>
    </w:tbl>
    <w:p w:rsidR="001171CB" w:rsidRPr="001171CB" w:rsidRDefault="001171CB" w:rsidP="001171CB">
      <w:pPr>
        <w:rPr>
          <w:rFonts w:ascii="Times New Roman" w:hAnsi="Times New Roman" w:cs="Times New Roman"/>
          <w:bCs/>
          <w:sz w:val="22"/>
          <w:szCs w:val="22"/>
        </w:rPr>
      </w:pPr>
      <w:r w:rsidRPr="001171CB">
        <w:rPr>
          <w:rFonts w:ascii="Times New Roman" w:hAnsi="Times New Roman" w:cs="Times New Roman"/>
          <w:bCs/>
          <w:sz w:val="22"/>
          <w:szCs w:val="22"/>
        </w:rPr>
        <w:t>USA, United States of America; UK, United Kingdom; NZ, New Zealand</w:t>
      </w:r>
    </w:p>
    <w:p w:rsidR="001171CB" w:rsidRPr="001171CB" w:rsidRDefault="001171CB" w:rsidP="00B84447">
      <w:pPr>
        <w:rPr>
          <w:sz w:val="22"/>
          <w:szCs w:val="22"/>
        </w:rPr>
      </w:pPr>
      <w:r w:rsidRPr="001171CB">
        <w:rPr>
          <w:sz w:val="22"/>
          <w:szCs w:val="22"/>
        </w:rPr>
        <w:br w:type="page"/>
      </w:r>
    </w:p>
    <w:p w:rsidR="00DD28AE" w:rsidRDefault="001171CB" w:rsidP="001171CB">
      <w:pPr>
        <w:rPr>
          <w:rFonts w:ascii="Times New Roman" w:hAnsi="Times New Roman" w:cs="Times New Roman"/>
          <w:sz w:val="22"/>
          <w:szCs w:val="22"/>
        </w:rPr>
      </w:pPr>
      <w:r w:rsidRPr="001171CB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Supplement Table 4. </w:t>
      </w:r>
      <w:r w:rsidRPr="001171CB">
        <w:rPr>
          <w:rFonts w:ascii="Times New Roman" w:hAnsi="Times New Roman" w:cs="Times New Roman"/>
          <w:sz w:val="22"/>
          <w:szCs w:val="22"/>
        </w:rPr>
        <w:t>Rating of critical domains of the assessment of multiple systematic reviews (AMSTAR) tool</w:t>
      </w:r>
    </w:p>
    <w:tbl>
      <w:tblPr>
        <w:tblpPr w:leftFromText="142" w:rightFromText="142" w:vertAnchor="text" w:horzAnchor="margin" w:tblpX="-426" w:tblpY="540"/>
        <w:tblW w:w="5323" w:type="pct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816"/>
        <w:gridCol w:w="1136"/>
        <w:gridCol w:w="2317"/>
        <w:gridCol w:w="2320"/>
        <w:gridCol w:w="2320"/>
      </w:tblGrid>
      <w:tr w:rsidR="00DD28AE" w:rsidRPr="001171CB" w:rsidTr="001A1F71">
        <w:trPr>
          <w:trHeight w:val="320"/>
        </w:trPr>
        <w:tc>
          <w:tcPr>
            <w:tcW w:w="2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jc w:val="center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 discrepancy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br/>
              <w:t>(significant in the same direction)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br/>
              <w:t>(n=14)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No discrepancy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br/>
              <w:t>(both non-significant)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br/>
              <w:t>(n=15)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contextualSpacing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Discrepancy</w:t>
            </w:r>
          </w:p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(one significant and the other non-significant)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br/>
              <w:t>(n=27)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Assessment of AMSTAR appraisal tool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Protocol registered before commencement of the review (item 2)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(1.8)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(6.7)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0 (0)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Partial 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 (5.4)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 (14.3)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(6.7)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0 (0)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No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5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 (92.9)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2 (85.7)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 (86.7)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2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7 (100)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Adequacy of the literature search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(item 4)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Partial 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 (55.4)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7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(50.0)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 (73.3)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 (48.2)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No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2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5 (44.6)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7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(50.0)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4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(26.7)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4 (51.9)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shd w:val="clear" w:color="auto" w:fill="FFFFFF"/>
              <w:spacing w:before="100" w:beforeAutospacing="1" w:after="100" w:afterAutospacing="1"/>
              <w:ind w:firstLineChars="50" w:firstLine="110"/>
              <w:rPr>
                <w:rFonts w:ascii="Times New Roman" w:hAnsi="Times New Roman" w:cs="Times New Roman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Justification for excluding individual studies (i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tem 7)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(5.4)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(7.1)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(6.7)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(3.7)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Partial 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No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5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 (94.6)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 (92.9)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4 (93.3)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2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6 (96.3)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Risk of bias from individual studies being included in the review (i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tem 9)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Yu Gothic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i/>
                <w:iCs/>
                <w:color w:val="000000"/>
                <w:sz w:val="22"/>
                <w:szCs w:val="22"/>
              </w:rPr>
              <w:t>RCT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7 (30.4)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6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(42.9)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(20.0)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8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(29.6)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Partial 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8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(14.3)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2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(14.3)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(6.7)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5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(18.5)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No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 (55.4)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6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(42.9)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 (73.3)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4 (51.9)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Yu Gothic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i/>
                <w:iCs/>
                <w:color w:val="000000"/>
                <w:sz w:val="22"/>
                <w:szCs w:val="22"/>
              </w:rPr>
              <w:lastRenderedPageBreak/>
              <w:t xml:space="preserve"> </w:t>
            </w:r>
            <w:r w:rsidRPr="001171CB">
              <w:rPr>
                <w:rFonts w:ascii="Times New Roman" w:eastAsia="Yu Gothic" w:hAnsi="Times New Roman" w:cs="Times New Roman"/>
                <w:i/>
                <w:iCs/>
                <w:color w:val="000000"/>
                <w:sz w:val="22"/>
                <w:szCs w:val="22"/>
              </w:rPr>
              <w:t xml:space="preserve"> NRSI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2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(3.6)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2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(7.4)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Partial 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 (58.9)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9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(64.3)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9 (60.0)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5 (55.6)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No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2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1 (37.5)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5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(35.7)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6 (40.0)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0 (37.0)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Appropriateness of meta-analytical methods (i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tem 11)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Yu Gothic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i/>
                <w:iCs/>
                <w:color w:val="000000"/>
                <w:sz w:val="22"/>
                <w:szCs w:val="22"/>
              </w:rPr>
              <w:t xml:space="preserve"> RCTs  -yes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4 (60.7)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9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(64.3)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8 (53.3)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7 (63.0)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Yu Gothic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i/>
                <w:iCs/>
                <w:color w:val="000000"/>
                <w:sz w:val="22"/>
                <w:szCs w:val="22"/>
              </w:rPr>
              <w:t xml:space="preserve"> NRSI  -yes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6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(10.7)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(20.0)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(11.1)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shd w:val="clear" w:color="auto" w:fill="FFFFFF"/>
              <w:spacing w:before="100" w:beforeAutospacing="1" w:after="100" w:afterAutospacing="1"/>
              <w:ind w:left="110" w:hangingChars="50" w:hanging="110"/>
              <w:rPr>
                <w:rFonts w:ascii="Times New Roman" w:hAnsi="Times New Roman" w:cs="Times New Roman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 xml:space="preserve">Consideration of risk of bias when interpreting the results of the review  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(item 13)  -yes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5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(8.9)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(7.1)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4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(14.8)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pStyle w:val="Web"/>
              <w:shd w:val="clear" w:color="auto" w:fill="FFFFFF"/>
              <w:ind w:firstLineChars="50" w:firstLine="110"/>
              <w:rPr>
                <w:rFonts w:ascii="Times New Roman" w:hAnsi="Times New Roman" w:cs="Times New Roman"/>
                <w:sz w:val="22"/>
                <w:szCs w:val="22"/>
              </w:rPr>
            </w:pPr>
            <w:r w:rsidRPr="001171CB">
              <w:rPr>
                <w:rFonts w:ascii="Times New Roman" w:hAnsi="Times New Roman" w:cs="Times New Roman"/>
                <w:sz w:val="22"/>
                <w:szCs w:val="22"/>
              </w:rPr>
              <w:t>Assessment of presence and likely impact of publication bias (i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tem 15) -yes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 (58.9)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0 (71.4)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9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(60.0)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4 (51.9)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Rating overall confidence in the results of the review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High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 xml:space="preserve"> 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Moderate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Low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(5.4)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0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(11.1)</w:t>
            </w:r>
          </w:p>
        </w:tc>
      </w:tr>
      <w:tr w:rsidR="00DD28AE" w:rsidRPr="001171CB" w:rsidTr="001A1F71">
        <w:trPr>
          <w:trHeight w:val="320"/>
        </w:trPr>
        <w:tc>
          <w:tcPr>
            <w:tcW w:w="2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 xml:space="preserve">  Critically low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5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3 (94.6)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00 (100)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1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00 (100)</w:t>
            </w:r>
          </w:p>
        </w:tc>
        <w:tc>
          <w:tcPr>
            <w:tcW w:w="7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D28AE" w:rsidRPr="001171CB" w:rsidRDefault="00DD28AE" w:rsidP="001A1F71">
            <w:pPr>
              <w:wordWrap w:val="0"/>
              <w:jc w:val="right"/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</w:pPr>
            <w:r w:rsidRPr="001171CB">
              <w:rPr>
                <w:rFonts w:ascii="Times New Roman" w:eastAsia="Yu Gothic" w:hAnsi="Times New Roman" w:cs="Times New Roman" w:hint="eastAsia"/>
                <w:color w:val="000000"/>
                <w:sz w:val="22"/>
                <w:szCs w:val="22"/>
              </w:rPr>
              <w:t>2</w:t>
            </w:r>
            <w:r w:rsidRPr="001171CB">
              <w:rPr>
                <w:rFonts w:ascii="Times New Roman" w:eastAsia="Yu Gothic" w:hAnsi="Times New Roman" w:cs="Times New Roman"/>
                <w:color w:val="000000"/>
                <w:sz w:val="22"/>
                <w:szCs w:val="22"/>
              </w:rPr>
              <w:t>4 (88.9)</w:t>
            </w:r>
          </w:p>
        </w:tc>
      </w:tr>
    </w:tbl>
    <w:p w:rsidR="00270ED1" w:rsidRPr="001171CB" w:rsidRDefault="00270ED1" w:rsidP="00B84447">
      <w:pPr>
        <w:rPr>
          <w:sz w:val="22"/>
          <w:szCs w:val="22"/>
        </w:rPr>
      </w:pPr>
    </w:p>
    <w:sectPr w:rsidR="00270ED1" w:rsidRPr="001171CB" w:rsidSect="001A1F71">
      <w:pgSz w:w="16840" w:h="11900" w:orient="landscape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41BAE" w:rsidRDefault="00941BAE" w:rsidP="007F7562">
      <w:r>
        <w:separator/>
      </w:r>
    </w:p>
  </w:endnote>
  <w:endnote w:type="continuationSeparator" w:id="0">
    <w:p w:rsidR="00941BAE" w:rsidRDefault="00941BAE" w:rsidP="007F7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Ｐゴシック">
    <w:altName w:val="‚l‚r ‚oƒSƒVƒbƒN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41BAE" w:rsidRDefault="00941BAE" w:rsidP="007F7562">
      <w:r>
        <w:separator/>
      </w:r>
    </w:p>
  </w:footnote>
  <w:footnote w:type="continuationSeparator" w:id="0">
    <w:p w:rsidR="00941BAE" w:rsidRDefault="00941BAE" w:rsidP="007F7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11167"/>
    <w:multiLevelType w:val="hybridMultilevel"/>
    <w:tmpl w:val="C3F4F3E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D223FAE"/>
    <w:multiLevelType w:val="hybridMultilevel"/>
    <w:tmpl w:val="C3F4F3E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FA50A1"/>
    <w:multiLevelType w:val="hybridMultilevel"/>
    <w:tmpl w:val="0FE644F8"/>
    <w:lvl w:ilvl="0" w:tplc="41561406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D9E5263"/>
    <w:multiLevelType w:val="hybridMultilevel"/>
    <w:tmpl w:val="B06CA9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2675AB7"/>
    <w:multiLevelType w:val="hybridMultilevel"/>
    <w:tmpl w:val="7756926E"/>
    <w:lvl w:ilvl="0" w:tplc="41561406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bordersDoNotSurroundHeader/>
  <w:bordersDoNotSurroundFooter/>
  <w:proofState w:spelling="clean"/>
  <w:defaultTabStop w:val="840"/>
  <w:drawingGridHorizontalSpacing w:val="103"/>
  <w:drawingGridVerticalSpacing w:val="20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ED1"/>
    <w:rsid w:val="00004935"/>
    <w:rsid w:val="00053E96"/>
    <w:rsid w:val="000541C9"/>
    <w:rsid w:val="00063756"/>
    <w:rsid w:val="0007437A"/>
    <w:rsid w:val="00094DB4"/>
    <w:rsid w:val="000963A0"/>
    <w:rsid w:val="00096825"/>
    <w:rsid w:val="000A0BBA"/>
    <w:rsid w:val="000B1EA7"/>
    <w:rsid w:val="000C5072"/>
    <w:rsid w:val="000C6E5E"/>
    <w:rsid w:val="000C6E75"/>
    <w:rsid w:val="000D161E"/>
    <w:rsid w:val="00113057"/>
    <w:rsid w:val="00114021"/>
    <w:rsid w:val="001171CB"/>
    <w:rsid w:val="001310E6"/>
    <w:rsid w:val="0014202E"/>
    <w:rsid w:val="0015772E"/>
    <w:rsid w:val="00177721"/>
    <w:rsid w:val="00196CC1"/>
    <w:rsid w:val="001A010C"/>
    <w:rsid w:val="001A0AC6"/>
    <w:rsid w:val="001A1F71"/>
    <w:rsid w:val="001D427E"/>
    <w:rsid w:val="001E116E"/>
    <w:rsid w:val="001F5231"/>
    <w:rsid w:val="00201F9E"/>
    <w:rsid w:val="00212981"/>
    <w:rsid w:val="00267112"/>
    <w:rsid w:val="00270ED1"/>
    <w:rsid w:val="002A34CC"/>
    <w:rsid w:val="002F0FC9"/>
    <w:rsid w:val="002F1346"/>
    <w:rsid w:val="003300CA"/>
    <w:rsid w:val="00333DCB"/>
    <w:rsid w:val="00342C84"/>
    <w:rsid w:val="00355135"/>
    <w:rsid w:val="00361D15"/>
    <w:rsid w:val="0036331C"/>
    <w:rsid w:val="00387602"/>
    <w:rsid w:val="003A18CC"/>
    <w:rsid w:val="003D1A92"/>
    <w:rsid w:val="003E7B53"/>
    <w:rsid w:val="00404F6B"/>
    <w:rsid w:val="0041124F"/>
    <w:rsid w:val="00460485"/>
    <w:rsid w:val="00464B1E"/>
    <w:rsid w:val="004714B5"/>
    <w:rsid w:val="00490CAD"/>
    <w:rsid w:val="004B0DBA"/>
    <w:rsid w:val="004C27BD"/>
    <w:rsid w:val="004C5DC6"/>
    <w:rsid w:val="004E6185"/>
    <w:rsid w:val="0050753D"/>
    <w:rsid w:val="005529CA"/>
    <w:rsid w:val="005B47B2"/>
    <w:rsid w:val="005F25D9"/>
    <w:rsid w:val="005F734D"/>
    <w:rsid w:val="006116AB"/>
    <w:rsid w:val="006630B3"/>
    <w:rsid w:val="00693B9A"/>
    <w:rsid w:val="00694AF7"/>
    <w:rsid w:val="006A11BF"/>
    <w:rsid w:val="006C23C8"/>
    <w:rsid w:val="006C273A"/>
    <w:rsid w:val="006F596D"/>
    <w:rsid w:val="007059CD"/>
    <w:rsid w:val="007117C1"/>
    <w:rsid w:val="00741A36"/>
    <w:rsid w:val="00747FE3"/>
    <w:rsid w:val="007560D6"/>
    <w:rsid w:val="00756FCB"/>
    <w:rsid w:val="007606E6"/>
    <w:rsid w:val="00777425"/>
    <w:rsid w:val="00781DD9"/>
    <w:rsid w:val="0078364C"/>
    <w:rsid w:val="007B13C7"/>
    <w:rsid w:val="007B2611"/>
    <w:rsid w:val="007C6B73"/>
    <w:rsid w:val="007F7562"/>
    <w:rsid w:val="008056EA"/>
    <w:rsid w:val="00806CB7"/>
    <w:rsid w:val="00815B12"/>
    <w:rsid w:val="008160CA"/>
    <w:rsid w:val="0082666C"/>
    <w:rsid w:val="00844D1F"/>
    <w:rsid w:val="00846379"/>
    <w:rsid w:val="00872B0A"/>
    <w:rsid w:val="00874B72"/>
    <w:rsid w:val="00891E22"/>
    <w:rsid w:val="008A5698"/>
    <w:rsid w:val="008C213F"/>
    <w:rsid w:val="008D0227"/>
    <w:rsid w:val="008D5D0B"/>
    <w:rsid w:val="00904A4D"/>
    <w:rsid w:val="00905D5A"/>
    <w:rsid w:val="00923F3F"/>
    <w:rsid w:val="00941BAE"/>
    <w:rsid w:val="00943105"/>
    <w:rsid w:val="009B43D7"/>
    <w:rsid w:val="009C3D57"/>
    <w:rsid w:val="009C5B8D"/>
    <w:rsid w:val="009F0B45"/>
    <w:rsid w:val="009F272C"/>
    <w:rsid w:val="00A057EE"/>
    <w:rsid w:val="00A137F9"/>
    <w:rsid w:val="00A223D2"/>
    <w:rsid w:val="00A2583F"/>
    <w:rsid w:val="00A25C9A"/>
    <w:rsid w:val="00A26749"/>
    <w:rsid w:val="00A6517A"/>
    <w:rsid w:val="00A90BE7"/>
    <w:rsid w:val="00A92666"/>
    <w:rsid w:val="00AA7218"/>
    <w:rsid w:val="00AC5FFA"/>
    <w:rsid w:val="00AD5ECA"/>
    <w:rsid w:val="00AF1AA6"/>
    <w:rsid w:val="00AF6AF7"/>
    <w:rsid w:val="00B1344B"/>
    <w:rsid w:val="00B147A3"/>
    <w:rsid w:val="00B24799"/>
    <w:rsid w:val="00B33AEF"/>
    <w:rsid w:val="00B77DBA"/>
    <w:rsid w:val="00B800DD"/>
    <w:rsid w:val="00B82DF9"/>
    <w:rsid w:val="00B84447"/>
    <w:rsid w:val="00B86448"/>
    <w:rsid w:val="00B9741F"/>
    <w:rsid w:val="00BA61D8"/>
    <w:rsid w:val="00BA756F"/>
    <w:rsid w:val="00BB3BAA"/>
    <w:rsid w:val="00BB5C5B"/>
    <w:rsid w:val="00C347FC"/>
    <w:rsid w:val="00C459D5"/>
    <w:rsid w:val="00C55FA6"/>
    <w:rsid w:val="00C57DA4"/>
    <w:rsid w:val="00C63FFB"/>
    <w:rsid w:val="00C64604"/>
    <w:rsid w:val="00C6531C"/>
    <w:rsid w:val="00C80A8F"/>
    <w:rsid w:val="00C84057"/>
    <w:rsid w:val="00C85C67"/>
    <w:rsid w:val="00C932C6"/>
    <w:rsid w:val="00CA09E6"/>
    <w:rsid w:val="00CA1698"/>
    <w:rsid w:val="00CB319B"/>
    <w:rsid w:val="00CC3292"/>
    <w:rsid w:val="00CF5D7F"/>
    <w:rsid w:val="00D03368"/>
    <w:rsid w:val="00D05A73"/>
    <w:rsid w:val="00D15903"/>
    <w:rsid w:val="00D46EDA"/>
    <w:rsid w:val="00D57D0B"/>
    <w:rsid w:val="00D62D34"/>
    <w:rsid w:val="00D67044"/>
    <w:rsid w:val="00D77FFC"/>
    <w:rsid w:val="00DA28A3"/>
    <w:rsid w:val="00DD28AE"/>
    <w:rsid w:val="00DD451B"/>
    <w:rsid w:val="00DD557D"/>
    <w:rsid w:val="00DE2C63"/>
    <w:rsid w:val="00DF18D8"/>
    <w:rsid w:val="00E027FF"/>
    <w:rsid w:val="00E10190"/>
    <w:rsid w:val="00E10594"/>
    <w:rsid w:val="00E12A62"/>
    <w:rsid w:val="00E30B34"/>
    <w:rsid w:val="00E470E6"/>
    <w:rsid w:val="00E731A5"/>
    <w:rsid w:val="00E93718"/>
    <w:rsid w:val="00EA0D58"/>
    <w:rsid w:val="00EA79BB"/>
    <w:rsid w:val="00EB34DE"/>
    <w:rsid w:val="00EB4DB8"/>
    <w:rsid w:val="00EB5F84"/>
    <w:rsid w:val="00EC00E7"/>
    <w:rsid w:val="00EC08F7"/>
    <w:rsid w:val="00ED78BE"/>
    <w:rsid w:val="00EE439E"/>
    <w:rsid w:val="00EF470E"/>
    <w:rsid w:val="00EF6E1E"/>
    <w:rsid w:val="00F11202"/>
    <w:rsid w:val="00F1283C"/>
    <w:rsid w:val="00F12C5B"/>
    <w:rsid w:val="00F12E33"/>
    <w:rsid w:val="00F20EFD"/>
    <w:rsid w:val="00F21AA1"/>
    <w:rsid w:val="00F23821"/>
    <w:rsid w:val="00F4173C"/>
    <w:rsid w:val="00F6712A"/>
    <w:rsid w:val="00F72E05"/>
    <w:rsid w:val="00F93F18"/>
    <w:rsid w:val="00FB17D8"/>
    <w:rsid w:val="00FE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92C3BC3"/>
  <w15:chartTrackingRefBased/>
  <w15:docId w15:val="{D564CEC7-766A-A24E-9CA6-C671C4ED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0E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F756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F7562"/>
  </w:style>
  <w:style w:type="paragraph" w:styleId="a6">
    <w:name w:val="footer"/>
    <w:basedOn w:val="a"/>
    <w:link w:val="a7"/>
    <w:uiPriority w:val="99"/>
    <w:unhideWhenUsed/>
    <w:rsid w:val="007F756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F7562"/>
  </w:style>
  <w:style w:type="paragraph" w:customStyle="1" w:styleId="EndNoteBibliography">
    <w:name w:val="EndNote Bibliography"/>
    <w:basedOn w:val="a"/>
    <w:link w:val="EndNoteBibliography0"/>
    <w:rsid w:val="001171CB"/>
    <w:rPr>
      <w:rFonts w:ascii="游明朝" w:eastAsia="游明朝" w:hAnsi="游明朝"/>
      <w:sz w:val="20"/>
    </w:rPr>
  </w:style>
  <w:style w:type="character" w:customStyle="1" w:styleId="EndNoteBibliography0">
    <w:name w:val="EndNote Bibliography (文字)"/>
    <w:basedOn w:val="a0"/>
    <w:link w:val="EndNoteBibliography"/>
    <w:rsid w:val="001171CB"/>
    <w:rPr>
      <w:rFonts w:ascii="游明朝" w:eastAsia="游明朝" w:hAnsi="游明朝"/>
      <w:sz w:val="20"/>
    </w:rPr>
  </w:style>
  <w:style w:type="paragraph" w:styleId="a8">
    <w:name w:val="Balloon Text"/>
    <w:basedOn w:val="a"/>
    <w:link w:val="a9"/>
    <w:uiPriority w:val="99"/>
    <w:semiHidden/>
    <w:unhideWhenUsed/>
    <w:rsid w:val="001171CB"/>
    <w:rPr>
      <w:rFonts w:ascii="ＭＳ 明朝" w:eastAsia="ＭＳ 明朝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171CB"/>
    <w:rPr>
      <w:rFonts w:ascii="ＭＳ 明朝" w:eastAsia="ＭＳ 明朝"/>
      <w:sz w:val="18"/>
      <w:szCs w:val="18"/>
    </w:rPr>
  </w:style>
  <w:style w:type="paragraph" w:styleId="Web">
    <w:name w:val="Normal (Web)"/>
    <w:basedOn w:val="a"/>
    <w:uiPriority w:val="99"/>
    <w:unhideWhenUsed/>
    <w:rsid w:val="001171C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16</Pages>
  <Words>4490</Words>
  <Characters>25596</Characters>
  <Application>Microsoft Office Word</Application>
  <DocSecurity>0</DocSecurity>
  <Lines>213</Lines>
  <Paragraphs>60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耒海　 美穂</dc:creator>
  <cp:keywords/>
  <dc:description/>
  <cp:lastModifiedBy>耒海　 美穂</cp:lastModifiedBy>
  <cp:revision>16</cp:revision>
  <dcterms:created xsi:type="dcterms:W3CDTF">2020-05-23T03:28:00Z</dcterms:created>
  <dcterms:modified xsi:type="dcterms:W3CDTF">2020-11-14T04:28:00Z</dcterms:modified>
</cp:coreProperties>
</file>