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32F071">
      <w:pPr>
        <w:pStyle w:val="2"/>
        <w:keepNext/>
        <w:jc w:val="center"/>
        <w:rPr>
          <w:rFonts w:hint="eastAsia"/>
          <w:color w:val="auto"/>
          <w:sz w:val="22"/>
          <w:szCs w:val="22"/>
        </w:rPr>
      </w:pPr>
      <w:r>
        <w:rPr>
          <w:rFonts w:hint="eastAsia"/>
          <w:color w:val="auto"/>
          <w:sz w:val="22"/>
          <w:szCs w:val="22"/>
        </w:rPr>
        <w:t xml:space="preserve">Table </w:t>
      </w:r>
      <w:r>
        <w:rPr>
          <w:rFonts w:hint="eastAsia"/>
          <w:color w:val="auto"/>
          <w:sz w:val="22"/>
          <w:szCs w:val="22"/>
          <w:lang w:val="en-US" w:eastAsia="zh-CN"/>
        </w:rPr>
        <w:t>2</w:t>
      </w:r>
      <w:r>
        <w:rPr>
          <w:rFonts w:hint="eastAsia"/>
          <w:color w:val="auto"/>
          <w:sz w:val="22"/>
          <w:szCs w:val="22"/>
        </w:rPr>
        <w:t>.</w:t>
      </w:r>
      <w:r>
        <w:rPr>
          <w:rFonts w:hint="eastAsia" w:eastAsia="宋体"/>
          <w:color w:val="auto"/>
          <w:sz w:val="22"/>
          <w:szCs w:val="22"/>
          <w:lang w:val="en-US" w:eastAsia="zh-CN"/>
        </w:rPr>
        <w:t xml:space="preserve"> </w:t>
      </w:r>
      <w:r>
        <w:rPr>
          <w:rFonts w:hint="eastAsia"/>
          <w:color w:val="auto"/>
          <w:sz w:val="22"/>
          <w:szCs w:val="22"/>
        </w:rPr>
        <w:t>FPCA structure and statistical analysis of fPC scores.</w:t>
      </w:r>
      <w:bookmarkStart w:id="0" w:name="_GoBack"/>
      <w:bookmarkEnd w:id="0"/>
    </w:p>
    <w:tbl>
      <w:tblPr>
        <w:tblStyle w:val="3"/>
        <w:tblW w:w="5075" w:type="pct"/>
        <w:jc w:val="center"/>
        <w:tblBorders>
          <w:top w:val="none" w:color="000000" w:sz="10" w:space="0"/>
          <w:left w:val="none" w:color="auto" w:sz="0" w:space="0"/>
          <w:bottom w:val="none" w:color="000000" w:sz="1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3"/>
        <w:gridCol w:w="669"/>
        <w:gridCol w:w="1422"/>
        <w:gridCol w:w="1558"/>
        <w:gridCol w:w="1256"/>
        <w:gridCol w:w="1143"/>
        <w:gridCol w:w="1342"/>
        <w:gridCol w:w="1230"/>
        <w:gridCol w:w="1397"/>
        <w:gridCol w:w="1356"/>
        <w:gridCol w:w="1371"/>
      </w:tblGrid>
      <w:tr w14:paraId="1667DC31">
        <w:tblPrEx>
          <w:tblBorders>
            <w:top w:val="none" w:color="000000" w:sz="10" w:space="0"/>
            <w:left w:val="none" w:color="auto" w:sz="0" w:space="0"/>
            <w:bottom w:val="non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0" w:hRule="atLeast"/>
          <w:tblHeader/>
          <w:jc w:val="center"/>
        </w:trPr>
        <w:tc>
          <w:tcPr>
            <w:tcW w:w="572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F6E8BD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sz w:val="22"/>
                <w:szCs w:val="22"/>
              </w:rPr>
              <w:t>Muscle</w:t>
            </w:r>
          </w:p>
        </w:tc>
        <w:tc>
          <w:tcPr>
            <w:tcW w:w="221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82F628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sz w:val="22"/>
                <w:szCs w:val="22"/>
              </w:rPr>
              <w:t>fPC</w:t>
            </w:r>
          </w:p>
        </w:tc>
        <w:tc>
          <w:tcPr>
            <w:tcW w:w="495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467A58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sz w:val="22"/>
                <w:szCs w:val="22"/>
              </w:rPr>
              <w:t>Explained variance (%)</w:t>
            </w:r>
          </w:p>
        </w:tc>
        <w:tc>
          <w:tcPr>
            <w:tcW w:w="542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D3DBDF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sz w:val="22"/>
                <w:szCs w:val="22"/>
              </w:rPr>
              <w:t>Cumulative variance (%)</w:t>
            </w:r>
          </w:p>
        </w:tc>
        <w:tc>
          <w:tcPr>
            <w:tcW w:w="437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D2CE53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sz w:val="22"/>
                <w:szCs w:val="22"/>
              </w:rPr>
              <w:t>CAI single-task</w:t>
            </w:r>
          </w:p>
        </w:tc>
        <w:tc>
          <w:tcPr>
            <w:tcW w:w="398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890B97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sz w:val="22"/>
                <w:szCs w:val="22"/>
              </w:rPr>
              <w:t>CAI dual-task</w:t>
            </w:r>
          </w:p>
        </w:tc>
        <w:tc>
          <w:tcPr>
            <w:tcW w:w="467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7C5CC1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sz w:val="22"/>
                <w:szCs w:val="22"/>
              </w:rPr>
              <w:t>Control single-task</w:t>
            </w:r>
          </w:p>
        </w:tc>
        <w:tc>
          <w:tcPr>
            <w:tcW w:w="428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76F40D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sz w:val="22"/>
                <w:szCs w:val="22"/>
              </w:rPr>
              <w:t>Control dual-task</w:t>
            </w:r>
          </w:p>
        </w:tc>
        <w:tc>
          <w:tcPr>
            <w:tcW w:w="486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15113E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sz w:val="22"/>
                <w:szCs w:val="22"/>
              </w:rPr>
              <w:t>Group</w:t>
            </w:r>
          </w:p>
        </w:tc>
        <w:tc>
          <w:tcPr>
            <w:tcW w:w="472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ACBC41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sz w:val="22"/>
                <w:szCs w:val="22"/>
              </w:rPr>
              <w:t>Task</w:t>
            </w:r>
          </w:p>
        </w:tc>
        <w:tc>
          <w:tcPr>
            <w:tcW w:w="477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5E60AC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sz w:val="22"/>
                <w:szCs w:val="22"/>
              </w:rPr>
              <w:t>Group × task</w:t>
            </w:r>
          </w:p>
        </w:tc>
      </w:tr>
      <w:tr w14:paraId="400B382A">
        <w:tblPrEx>
          <w:tblBorders>
            <w:top w:val="none" w:color="000000" w:sz="10" w:space="0"/>
            <w:left w:val="none" w:color="auto" w:sz="0" w:space="0"/>
            <w:bottom w:val="non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2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8EB5B8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Gluteus maximus</w:t>
            </w:r>
          </w:p>
        </w:tc>
        <w:tc>
          <w:tcPr>
            <w:tcW w:w="221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483A03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fPC1</w:t>
            </w:r>
          </w:p>
        </w:tc>
        <w:tc>
          <w:tcPr>
            <w:tcW w:w="495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F0ED0D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35.758</w:t>
            </w:r>
          </w:p>
        </w:tc>
        <w:tc>
          <w:tcPr>
            <w:tcW w:w="542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3E2303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35.758</w:t>
            </w:r>
          </w:p>
        </w:tc>
        <w:tc>
          <w:tcPr>
            <w:tcW w:w="437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207291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0.011 ± 0.162</w:t>
            </w:r>
          </w:p>
        </w:tc>
        <w:tc>
          <w:tcPr>
            <w:tcW w:w="398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3AFB35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0.042 ± 0.165</w:t>
            </w:r>
          </w:p>
        </w:tc>
        <w:tc>
          <w:tcPr>
            <w:tcW w:w="467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C47B06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-0.009 ± 0.142</w:t>
            </w:r>
          </w:p>
        </w:tc>
        <w:tc>
          <w:tcPr>
            <w:tcW w:w="428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21EC0C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-0.043 ± 0.120</w:t>
            </w:r>
          </w:p>
        </w:tc>
        <w:tc>
          <w:tcPr>
            <w:tcW w:w="486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FFBA2D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3.00;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0.239;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0.049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9BBD5E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0.01;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0.939;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0.000</w:t>
            </w:r>
          </w:p>
        </w:tc>
        <w:tc>
          <w:tcPr>
            <w:tcW w:w="477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4744CF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1.94;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0.337;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0.032</w:t>
            </w:r>
          </w:p>
        </w:tc>
      </w:tr>
      <w:tr w14:paraId="1A3AF4CD">
        <w:tblPrEx>
          <w:tblBorders>
            <w:top w:val="none" w:color="000000" w:sz="10" w:space="0"/>
            <w:left w:val="none" w:color="auto" w:sz="0" w:space="0"/>
            <w:bottom w:val="non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B0CB1B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Gluteus maximus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960C50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fPC2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05D03B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33.712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8BB299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69.470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D9CA07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0.009 ± 0.158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5A6D61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0.029 ± 0.149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49A9FF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0.016 ± 0.142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335332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-0.055 ± 0.122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4570E2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1.89;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0.239;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0.032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6988CE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1.12;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0.886;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0.019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7B1774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3.58;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0.190;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0.058</w:t>
            </w:r>
          </w:p>
        </w:tc>
      </w:tr>
      <w:tr w14:paraId="36D5453A">
        <w:tblPrEx>
          <w:tblBorders>
            <w:top w:val="none" w:color="000000" w:sz="10" w:space="0"/>
            <w:left w:val="none" w:color="auto" w:sz="0" w:space="0"/>
            <w:bottom w:val="non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8BFB05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Gluteus maximus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518B4A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fPC3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651F0B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13.247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978BA8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82.717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5FCC73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0.012 ± 0.080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CE6453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0.019 ± 0.106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1807C4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-0.024 ± 0.100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F25F72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-0.008 ± 0.072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D669EB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3.19;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0.239;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0.052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A930E8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0.57;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0.905;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0.010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A4593A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0.08;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0.773;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0.001</w:t>
            </w:r>
          </w:p>
        </w:tc>
      </w:tr>
      <w:tr w14:paraId="6D879B2E">
        <w:tblPrEx>
          <w:tblBorders>
            <w:top w:val="none" w:color="000000" w:sz="10" w:space="0"/>
            <w:left w:val="none" w:color="auto" w:sz="0" w:space="0"/>
            <w:bottom w:val="non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7864B7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Gluteus medius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8CE65B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fPC1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F3948F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33.843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F34D19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33.843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7B48EB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-0.022 ± 0.141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E879EC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0.009 ± 0.165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9079F2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0.012 ± 0.131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C68948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0.001 ± 0.119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E5C07E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0.23;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0.004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469B6A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0.18;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0.003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13F7AD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0.79;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0.013</w:t>
            </w:r>
          </w:p>
        </w:tc>
      </w:tr>
      <w:tr w14:paraId="68633B53">
        <w:tblPrEx>
          <w:tblBorders>
            <w:top w:val="none" w:color="000000" w:sz="10" w:space="0"/>
            <w:left w:val="none" w:color="auto" w:sz="0" w:space="0"/>
            <w:bottom w:val="non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A5172B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Gluteus medius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3B6480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fPC2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A0395F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26.536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24563C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60.378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6D9A58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0.026 ± 0.129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78A334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0.013 ± 0.137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0CCA2E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-0.015 ± 0.109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CDC6C3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-0.024 ± 0.114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C0D0D5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2.71;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0.316;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0.045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203291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0.28;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0.005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507E64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0.01;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0.000</w:t>
            </w:r>
          </w:p>
        </w:tc>
      </w:tr>
      <w:tr w14:paraId="68BC67A4">
        <w:tblPrEx>
          <w:tblBorders>
            <w:top w:val="none" w:color="000000" w:sz="10" w:space="0"/>
            <w:left w:val="none" w:color="auto" w:sz="0" w:space="0"/>
            <w:bottom w:val="non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5389B4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Gluteus medius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3C170F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fPC3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C36F0B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16.149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450526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76.527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204673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-0.000 ± 0.091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56700B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0.004 ± 0.109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B7EE04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0.002 ± 0.085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9E38CE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-0.005 ± 0.101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F94F1F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0.03;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0.001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8ABB04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0.01;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0.000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92CEA0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0.10;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0.002</w:t>
            </w:r>
          </w:p>
        </w:tc>
      </w:tr>
      <w:tr w14:paraId="46410B4E">
        <w:tblPrEx>
          <w:tblBorders>
            <w:top w:val="none" w:color="000000" w:sz="10" w:space="0"/>
            <w:left w:val="none" w:color="auto" w:sz="0" w:space="0"/>
            <w:bottom w:val="non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E6AD48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Gluteus medius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2C5691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fPC4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5CC37C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14.054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99D37D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90.581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5F70AF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-0.022 ± 0.093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1BF197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-0.014 ± 0.100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BF09A7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0.012 ± 0.087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787F49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0.023 ± 0.073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B4CB71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4.49;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0.154;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0.072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9DBF89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0.35;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0.006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165764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0.01;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0.000</w:t>
            </w:r>
          </w:p>
        </w:tc>
      </w:tr>
      <w:tr w14:paraId="4ACFFD5F">
        <w:tblPrEx>
          <w:tblBorders>
            <w:top w:val="none" w:color="000000" w:sz="10" w:space="0"/>
            <w:left w:val="none" w:color="auto" w:sz="0" w:space="0"/>
            <w:bottom w:val="non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03390E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Rectus femoris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246311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fPC1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C8EE4D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35.852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FE295E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35.852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AC07A2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-0.022 ± 0.110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F3F528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-0.015 ± 0.117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948C58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-0.016 ± 0.140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D85B6E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0.052 ± 0.131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1CDF0F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2.71;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0.210;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0.045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36F2E0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2.51;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0.355;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0.042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36836B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1.66;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0.609;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0.028</w:t>
            </w:r>
          </w:p>
        </w:tc>
      </w:tr>
      <w:tr w14:paraId="6CD21A6B">
        <w:tblPrEx>
          <w:tblBorders>
            <w:top w:val="none" w:color="000000" w:sz="10" w:space="0"/>
            <w:left w:val="none" w:color="auto" w:sz="0" w:space="0"/>
            <w:bottom w:val="non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CDE01A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Rectus femoris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1CD8E0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fPC2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D9E404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30.663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F2C9E7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66.515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01F328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-0.042 ± 0.132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08A4BA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-0.010 ± 0.119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0CD17E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0.018 ± 0.105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1D63C1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0.033 ± 0.103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6AB711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4.83;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0.096;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0.077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192568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1.64;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0.412;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0.027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42214F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0.21;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0.729;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0.004</w:t>
            </w:r>
          </w:p>
        </w:tc>
      </w:tr>
      <w:tr w14:paraId="514CE403">
        <w:tblPrEx>
          <w:tblBorders>
            <w:top w:val="none" w:color="000000" w:sz="10" w:space="0"/>
            <w:left w:val="none" w:color="auto" w:sz="0" w:space="0"/>
            <w:bottom w:val="non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01469A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Rectus femoris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7C56D0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fPC3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2DDAFF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15.460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CD7996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81.974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BE2745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0.003 ± 0.067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41BCA6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-0.006 ± 0.085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8EE8B7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-0.009 ± 0.086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7813FA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0.012 ± 0.095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2536F2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0.03;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0.863;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0.001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15CC65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0.13;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0.722;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0.002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017127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0.83;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0.729;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0.014</w:t>
            </w:r>
          </w:p>
        </w:tc>
      </w:tr>
      <w:tr w14:paraId="66DCFA78">
        <w:tblPrEx>
          <w:tblBorders>
            <w:top w:val="none" w:color="000000" w:sz="10" w:space="0"/>
            <w:left w:val="none" w:color="auto" w:sz="0" w:space="0"/>
            <w:bottom w:val="non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B38723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Vastus lateralis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65B359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fPC1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9DAF79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41.988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245512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41.988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AD1438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0.034 ± 0.157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63FCA2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0.011 ± 0.131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2BAA18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-0.053 ± 0.124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B7EF31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0.007 ± 0.117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2B60BB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3.23;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0.232;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0.053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163BFD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0.63;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0.011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C60DD5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3.18;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0.240;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0.052</w:t>
            </w:r>
          </w:p>
        </w:tc>
      </w:tr>
      <w:tr w14:paraId="792BEAE0">
        <w:tblPrEx>
          <w:tblBorders>
            <w:top w:val="none" w:color="000000" w:sz="10" w:space="0"/>
            <w:left w:val="none" w:color="auto" w:sz="0" w:space="0"/>
            <w:bottom w:val="non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B1EE95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Vastus lateralis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E37AB2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fPC2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61A837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29.635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6EA763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71.623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1AA42A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-0.004 ± 0.097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24B18C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0.013 ± 0.145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22D822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-0.013 ± 0.100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96FB35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0.004 ± 0.109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7FAB91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0.20;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0.003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069344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0.70;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0.012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D2DBD6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0.000</w:t>
            </w:r>
          </w:p>
        </w:tc>
      </w:tr>
      <w:tr w14:paraId="594F239B">
        <w:tblPrEx>
          <w:tblBorders>
            <w:top w:val="none" w:color="000000" w:sz="10" w:space="0"/>
            <w:left w:val="none" w:color="auto" w:sz="0" w:space="0"/>
            <w:bottom w:val="non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BC1BF1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Vastus lateralis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96C819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fPC3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E7D988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14.483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AB63EC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86.106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194F16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-0.001 ± 0.086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2712F4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-0.008 ± 0.077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588626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0.010 ± 0.077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6D9167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-0.001 ± 0.080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EC14F8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0.46;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0.008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707B07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0.34;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0.006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6480E8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0.01;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0.000</w:t>
            </w:r>
          </w:p>
        </w:tc>
      </w:tr>
      <w:tr w14:paraId="65C233FC">
        <w:tblPrEx>
          <w:tblBorders>
            <w:top w:val="none" w:color="000000" w:sz="10" w:space="0"/>
            <w:left w:val="none" w:color="auto" w:sz="0" w:space="0"/>
            <w:bottom w:val="non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F080F9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Biceps femoris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A597BE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fPC1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97AECA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30.483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071471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30.483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F5A802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0.013 ± 0.118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520FC4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0.031 ± 0.139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F8248D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-0.014 ± 0.129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B72BB6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-0.031 ± 0.129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4BB900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3.54;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0.259;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0.058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A06923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0.000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2D537F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0.55;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0.009</w:t>
            </w:r>
          </w:p>
        </w:tc>
      </w:tr>
      <w:tr w14:paraId="3849FEBA">
        <w:tblPrEx>
          <w:tblBorders>
            <w:top w:val="none" w:color="000000" w:sz="10" w:space="0"/>
            <w:left w:val="none" w:color="auto" w:sz="0" w:space="0"/>
            <w:bottom w:val="non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83EAC2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Biceps femoris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FE317B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fPC2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B460FB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26.082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5C3084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56.564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D5445F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-0.005 ± 0.124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AAB8A4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0.011 ± 0.102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8A2A5F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-0.009 ± 0.130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D858BB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0.004 ± 0.126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29335B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0.06;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0.859;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0.001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DA2112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0.42;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0.007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5C5F26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0.01;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0.000</w:t>
            </w:r>
          </w:p>
        </w:tc>
      </w:tr>
      <w:tr w14:paraId="4B7348EF">
        <w:tblPrEx>
          <w:tblBorders>
            <w:top w:val="none" w:color="000000" w:sz="10" w:space="0"/>
            <w:left w:val="none" w:color="auto" w:sz="0" w:space="0"/>
            <w:bottom w:val="non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F728EA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Biceps femoris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6E2EA7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fPC3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FD8C38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19.013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8FE16C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75.578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43BFC4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0.024 ± 0.106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CBDC16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0.004 ± 0.096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7BE941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-0.009 ± 0.094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77D654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-0.019 ± 0.112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631102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2.34;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0.394;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0.039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E7BC61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0.66;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0.011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825354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0.08;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0.001</w:t>
            </w:r>
          </w:p>
        </w:tc>
      </w:tr>
      <w:tr w14:paraId="516A4F18">
        <w:tblPrEx>
          <w:tblBorders>
            <w:top w:val="none" w:color="000000" w:sz="10" w:space="0"/>
            <w:left w:val="none" w:color="auto" w:sz="0" w:space="0"/>
            <w:bottom w:val="non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73CCC5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Biceps femoris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3DE603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fPC4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174718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16.759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5CEE80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92.337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9F4B9F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0.011 ± 0.106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E42B4F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0.003 ± 0.106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4C461C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-0.001 ± 0.079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2AF585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-0.013 ± 0.093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2F3CB2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0.63;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0.859;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0.011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5F6E15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0.35;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0.006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C27244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0.01;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0.000</w:t>
            </w:r>
          </w:p>
        </w:tc>
      </w:tr>
      <w:tr w14:paraId="5927591B">
        <w:tblPrEx>
          <w:tblBorders>
            <w:top w:val="none" w:color="000000" w:sz="10" w:space="0"/>
            <w:left w:val="none" w:color="auto" w:sz="0" w:space="0"/>
            <w:bottom w:val="non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B080C1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Semitendinosus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B05EB5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fPC1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2C1D6F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38.075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85B31B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38.075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9E4E3C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0.026 ± 0.140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FF5299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0.017 ± 0.115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821E1E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-0.025 ± 0.164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C91DF1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-0.018 ± 0.144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55FA23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2.36;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0.390;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0.039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F2467C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0.000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060AD5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0.11;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0.002</w:t>
            </w:r>
          </w:p>
        </w:tc>
      </w:tr>
      <w:tr w14:paraId="546FBEC0">
        <w:tblPrEx>
          <w:tblBorders>
            <w:top w:val="none" w:color="000000" w:sz="10" w:space="0"/>
            <w:left w:val="none" w:color="auto" w:sz="0" w:space="0"/>
            <w:bottom w:val="non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F9C6BD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Semitendinosus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E1728A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fPC2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51EB25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24.350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3FA45F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62.425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9FA3A4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0.038 ± 0.114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E13947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-0.013 ± 0.116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5F3CC9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0.001 ± 0.109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0C7C8A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-0.026 ± 0.110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1ECADB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1.08;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0.607;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0.018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9D4DB9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5.76;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0.059;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0.090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492E16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0.57;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0.010</w:t>
            </w:r>
          </w:p>
        </w:tc>
      </w:tr>
      <w:tr w14:paraId="690717D2">
        <w:tblPrEx>
          <w:tblBorders>
            <w:top w:val="none" w:color="000000" w:sz="10" w:space="0"/>
            <w:left w:val="none" w:color="auto" w:sz="0" w:space="0"/>
            <w:bottom w:val="non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05628F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Semitendinosus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C9C015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fPC3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992970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17.670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F2DC57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80.096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7BBAB0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-0.010 ± 0.099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A91B15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0.003 ± 0.108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52546B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0.012 ± 0.087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EB206A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-0.005 ± 0.095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3761A9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0.14;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0.714;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0.002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D2972F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0.01;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0.000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CA2114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0.95;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0.016</w:t>
            </w:r>
          </w:p>
        </w:tc>
      </w:tr>
      <w:tr w14:paraId="685128CE">
        <w:tblPrEx>
          <w:tblBorders>
            <w:top w:val="none" w:color="000000" w:sz="10" w:space="0"/>
            <w:left w:val="none" w:color="auto" w:sz="0" w:space="0"/>
            <w:bottom w:val="non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751FB7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Tibialis anterior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09045E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fPC1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828269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43.442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2C28EF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43.442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CBA0BE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-0.052 ± 0.166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1B9334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0.011 ± 0.152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0C2B16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0.066 ± 0.160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197AB9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-0.025 ± 0.145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ADBFFA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2.05;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0.315;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0.034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E48B88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0.23;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0.004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FAB8B6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7.50;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0.025;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0.115*</w:t>
            </w:r>
          </w:p>
        </w:tc>
      </w:tr>
      <w:tr w14:paraId="4A3493AD">
        <w:tblPrEx>
          <w:tblBorders>
            <w:top w:val="none" w:color="000000" w:sz="10" w:space="0"/>
            <w:left w:val="none" w:color="auto" w:sz="0" w:space="0"/>
            <w:bottom w:val="non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EEC6C9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Tibialis anterior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EBA55B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fPC2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3B928F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22.460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BD1E32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65.902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1B258C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-0.027 ± 0.122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B63D09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-0.021 ± 0.106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590DA3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0.036 ± 0.123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30E759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0.011 ± 0.103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3EC895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4.68;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0.104;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0.075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F29F03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0.22;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0.004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2E21F1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0.65;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0.422;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0.011</w:t>
            </w:r>
          </w:p>
        </w:tc>
      </w:tr>
      <w:tr w14:paraId="62FC65C1">
        <w:tblPrEx>
          <w:tblBorders>
            <w:top w:val="none" w:color="000000" w:sz="10" w:space="0"/>
            <w:left w:val="none" w:color="auto" w:sz="0" w:space="0"/>
            <w:bottom w:val="non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CCDFD3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Tibialis anterior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F938B3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fPC3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4E2429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19.124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E28D97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85.026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56009F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-0.041 ± 0.123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3BADB4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0.030 ± 0.092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E9C004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-0.006 ± 0.099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04A55F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0.017 ± 0.100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E296E8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0.26;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0.614;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0.004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088FB6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6.86;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0.034;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0.106*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629A01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1.77;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0.377;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0.030</w:t>
            </w:r>
          </w:p>
        </w:tc>
      </w:tr>
      <w:tr w14:paraId="408B9D96">
        <w:tblPrEx>
          <w:tblBorders>
            <w:top w:val="none" w:color="000000" w:sz="10" w:space="0"/>
            <w:left w:val="none" w:color="auto" w:sz="0" w:space="0"/>
            <w:bottom w:val="non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34BEEA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Peroneus longus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62A582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fPC1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B5A246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35.983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7AA7DA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35.983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8B5F8D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0.018 ± 0.136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D2462E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-0.038 ± 0.130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76AF2C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-0.020 ± 0.150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23ED55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0.041 ± 0.101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0AA616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0.91;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0.919;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0.015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35AEF4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0.01;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0.000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C51ED0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4.99;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0.118;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0.079</w:t>
            </w:r>
          </w:p>
        </w:tc>
      </w:tr>
      <w:tr w14:paraId="66839153">
        <w:tblPrEx>
          <w:tblBorders>
            <w:top w:val="none" w:color="000000" w:sz="10" w:space="0"/>
            <w:left w:val="none" w:color="auto" w:sz="0" w:space="0"/>
            <w:bottom w:val="non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1D17BA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Peroneus longus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E7D22E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fPC2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C8A081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21.999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832B33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57.982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5C8DD1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0.012 ± 0.095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9291D2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0.008 ± 0.100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B7E508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-0.029 ± 0.109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CDE90C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0.009 ± 0.109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602B10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1.19;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0.919;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0.020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6ECDA0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0.79;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0.013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4BCDF3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1.15;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0.577;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0.019</w:t>
            </w:r>
          </w:p>
        </w:tc>
      </w:tr>
      <w:tr w14:paraId="4D018A8E">
        <w:tblPrEx>
          <w:tblBorders>
            <w:top w:val="none" w:color="000000" w:sz="10" w:space="0"/>
            <w:left w:val="none" w:color="auto" w:sz="0" w:space="0"/>
            <w:bottom w:val="non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CFCDE0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Peroneus longus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865C60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fPC3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933DF0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21.131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527827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79.113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A5CAFA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0.025 ± 0.093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D8B366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-0.002 ± 0.081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A23347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-0.029 ± 0.109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B30439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0.006 ± 0.117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6067ED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1.47;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0.919;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0.025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0E7C32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0.06;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0.001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1EEE17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3.10;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0.251;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0.051</w:t>
            </w:r>
          </w:p>
        </w:tc>
      </w:tr>
      <w:tr w14:paraId="7230708C">
        <w:tblPrEx>
          <w:tblBorders>
            <w:top w:val="none" w:color="000000" w:sz="10" w:space="0"/>
            <w:left w:val="none" w:color="auto" w:sz="0" w:space="0"/>
            <w:bottom w:val="non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A8169F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Peroneus longus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878C49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fPC4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59F0AF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10.757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DB42B8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89.870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465C2C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-0.014 ± 0.080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07D23B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-0.001 ± 0.072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5E7A14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0.008 ± 0.067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9814C1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0.007 ± 0.071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172F56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1.35;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0.919;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0.023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03CD41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0.18;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0.003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13E632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0.23;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0.634;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0.004</w:t>
            </w:r>
          </w:p>
        </w:tc>
      </w:tr>
      <w:tr w14:paraId="67F33FFE">
        <w:tblPrEx>
          <w:tblBorders>
            <w:top w:val="none" w:color="000000" w:sz="10" w:space="0"/>
            <w:left w:val="none" w:color="auto" w:sz="0" w:space="0"/>
            <w:bottom w:val="non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2E39BC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Medial gastrocnemius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72AFE3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fPC1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035501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45.727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CDC7A2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45.727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5DA12E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0.003 ± 0.186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C26006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0.000 ± 0.201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9E0BC4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-0.024 ± 0.135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D08137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0.021 ± 0.149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8E7BED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0.01;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0.000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D11D0B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0.49;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0.767;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0.008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88EE8F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0.62;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0.011</w:t>
            </w:r>
          </w:p>
        </w:tc>
      </w:tr>
      <w:tr w14:paraId="6B75E5D5">
        <w:tblPrEx>
          <w:tblBorders>
            <w:top w:val="none" w:color="000000" w:sz="10" w:space="0"/>
            <w:left w:val="none" w:color="auto" w:sz="0" w:space="0"/>
            <w:bottom w:val="non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7CBD17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Medial gastrocnemius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0FB985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fPC2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866EFE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24.373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2364CD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70.099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C0B254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0.008 ± 0.115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263835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-0.002 ± 0.102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6920DF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0.015 ± 0.149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452585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-0.021 ± 0.124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C6E1DD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0.06;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0.001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C8DF62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1.64;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0.615;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0.028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EC8980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0.50;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0.008</w:t>
            </w:r>
          </w:p>
        </w:tc>
      </w:tr>
      <w:tr w14:paraId="36896185">
        <w:tblPrEx>
          <w:tblBorders>
            <w:top w:val="none" w:color="000000" w:sz="10" w:space="0"/>
            <w:left w:val="none" w:color="auto" w:sz="0" w:space="0"/>
            <w:bottom w:val="non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1DDA3B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Medial gastrocnemius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C60580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fPC3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7C8415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15.075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E87731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85.175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C96213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-0.018 ± 0.089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4E2EB4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-0.011 ± 0.089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9EEEEB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0.003 ± 0.105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86FC85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0.026 ± 0.102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F6CE00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2.36;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0.390;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0.039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6D1FB6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0.77;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0.767;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0.013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E179BA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0.24;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0.004</w:t>
            </w:r>
          </w:p>
        </w:tc>
      </w:tr>
      <w:tr w14:paraId="2FF19094">
        <w:tblPrEx>
          <w:tblBorders>
            <w:top w:val="none" w:color="000000" w:sz="10" w:space="0"/>
            <w:left w:val="none" w:color="auto" w:sz="0" w:space="0"/>
            <w:bottom w:val="non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88EEF7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Lateral gastrocnemius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E55EDD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fPC1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ABE820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39.619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1C1EEF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39.619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312A79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0.031 ± 0.146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AEEB93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-0.020 ± 0.179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98B853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-0.003 ± 0.155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271630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-0.009 ± 0.161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203D39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0.14;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0.710;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0.002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7B0242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0.97;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0.908;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0.016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A22615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0.60;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0.010</w:t>
            </w:r>
          </w:p>
        </w:tc>
      </w:tr>
      <w:tr w14:paraId="1D6A0986">
        <w:tblPrEx>
          <w:tblBorders>
            <w:top w:val="none" w:color="000000" w:sz="10" w:space="0"/>
            <w:left w:val="none" w:color="auto" w:sz="0" w:space="0"/>
            <w:bottom w:val="non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72DDA5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Lateral gastrocnemius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D24795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fPC2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AB8B99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30.101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FAF75A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69.720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774257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-0.020 ± 0.163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519DAA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-0.032 ± 0.129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594F45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0.033 ± 0.126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E9BE4B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0.019 ± 0.132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AAFF19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3.87;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0.108;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0.063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6C4BB8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0.32;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0.908;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0.006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851923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0.000</w:t>
            </w:r>
          </w:p>
        </w:tc>
      </w:tr>
      <w:tr w14:paraId="2791946D">
        <w:tblPrEx>
          <w:tblBorders>
            <w:top w:val="none" w:color="000000" w:sz="10" w:space="0"/>
            <w:left w:val="none" w:color="auto" w:sz="0" w:space="0"/>
            <w:bottom w:val="non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2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B403D7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Lateral gastrocnemius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ADD329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fPC3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D359DA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15.825</w:t>
            </w:r>
          </w:p>
        </w:tc>
        <w:tc>
          <w:tcPr>
            <w:tcW w:w="542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2B4628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85.545</w:t>
            </w:r>
          </w:p>
        </w:tc>
        <w:tc>
          <w:tcPr>
            <w:tcW w:w="437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9863E4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-0.024 ± 0.100</w:t>
            </w:r>
          </w:p>
        </w:tc>
        <w:tc>
          <w:tcPr>
            <w:tcW w:w="398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43FCAA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-0.052 ± 0.081</w:t>
            </w:r>
          </w:p>
        </w:tc>
        <w:tc>
          <w:tcPr>
            <w:tcW w:w="467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D1A930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0.042 ± 0.079</w:t>
            </w:r>
          </w:p>
        </w:tc>
        <w:tc>
          <w:tcPr>
            <w:tcW w:w="428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B85D7A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>0.034 ± 0.113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C1AA90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20.91;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&lt; 0.001;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0.265*</w:t>
            </w:r>
          </w:p>
        </w:tc>
        <w:tc>
          <w:tcPr>
            <w:tcW w:w="472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3C7E74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1.08;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0.908;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0.018</w:t>
            </w:r>
          </w:p>
        </w:tc>
        <w:tc>
          <w:tcPr>
            <w:tcW w:w="477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7B985A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F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0.32;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p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1.000; </w:t>
            </w:r>
            <w:r>
              <w:rPr>
                <w:rFonts w:ascii="Times New Roman" w:hAnsi="Times New Roman" w:eastAsia="Times New Roman"/>
                <w:b w:val="0"/>
                <w:i/>
                <w:sz w:val="22"/>
                <w:szCs w:val="22"/>
              </w:rPr>
              <w:t>ηₚ²</w:t>
            </w:r>
            <w:r>
              <w:rPr>
                <w:rFonts w:ascii="Times New Roman" w:hAnsi="Times New Roman" w:eastAsia="Times New Roman"/>
                <w:b w:val="0"/>
                <w:sz w:val="22"/>
                <w:szCs w:val="22"/>
              </w:rPr>
              <w:t xml:space="preserve"> = 0.005</w:t>
            </w:r>
          </w:p>
        </w:tc>
      </w:tr>
    </w:tbl>
    <w:p w14:paraId="56BE55B4">
      <w:pPr>
        <w:rPr>
          <w:rFonts w:hint="eastAsia" w:eastAsia="宋体"/>
          <w:sz w:val="22"/>
          <w:szCs w:val="22"/>
          <w:lang w:eastAsia="zh-CN"/>
        </w:rPr>
      </w:pPr>
      <w:r>
        <w:rPr>
          <w:rFonts w:hint="eastAsia" w:eastAsia="宋体"/>
          <w:sz w:val="22"/>
          <w:szCs w:val="22"/>
          <w:lang w:eastAsia="zh-CN"/>
        </w:rPr>
        <w:t>Note</w:t>
      </w:r>
      <w:r>
        <w:rPr>
          <w:rFonts w:hint="eastAsia" w:eastAsia="宋体"/>
          <w:sz w:val="22"/>
          <w:szCs w:val="22"/>
          <w:lang w:val="en-US" w:eastAsia="zh-CN"/>
        </w:rPr>
        <w:t xml:space="preserve">: </w:t>
      </w:r>
      <w:r>
        <w:rPr>
          <w:rFonts w:hint="eastAsia" w:eastAsia="宋体"/>
          <w:i/>
          <w:iCs/>
          <w:sz w:val="22"/>
          <w:szCs w:val="22"/>
          <w:lang w:eastAsia="zh-CN"/>
        </w:rPr>
        <w:t>p</w:t>
      </w:r>
      <w:r>
        <w:rPr>
          <w:rFonts w:hint="eastAsia" w:eastAsia="宋体"/>
          <w:sz w:val="22"/>
          <w:szCs w:val="22"/>
          <w:lang w:eastAsia="zh-CN"/>
        </w:rPr>
        <w:t xml:space="preserve"> values are Holm-adjusted across retained fPCs within each muscle separately for Group, Task, and Group </w:t>
      </w:r>
      <w:r>
        <w:rPr>
          <w:rFonts w:hint="default" w:ascii="Times New Roman" w:hAnsi="Times New Roman" w:eastAsia="宋体" w:cs="Times New Roman"/>
          <w:sz w:val="22"/>
          <w:szCs w:val="22"/>
          <w:lang w:eastAsia="zh-CN"/>
        </w:rPr>
        <w:t>×</w:t>
      </w:r>
      <w:r>
        <w:rPr>
          <w:rFonts w:hint="eastAsia" w:eastAsia="宋体"/>
          <w:sz w:val="22"/>
          <w:szCs w:val="22"/>
          <w:lang w:eastAsia="zh-CN"/>
        </w:rPr>
        <w:t xml:space="preserve"> Task effects. </w:t>
      </w:r>
      <w:r>
        <w:rPr>
          <w:rFonts w:hint="eastAsia" w:eastAsia="宋体"/>
          <w:i/>
          <w:iCs/>
          <w:sz w:val="22"/>
          <w:szCs w:val="22"/>
          <w:lang w:eastAsia="zh-CN"/>
        </w:rPr>
        <w:t>p</w:t>
      </w:r>
      <w:r>
        <w:rPr>
          <w:rFonts w:hint="eastAsia" w:eastAsia="宋体"/>
          <w:sz w:val="22"/>
          <w:szCs w:val="22"/>
          <w:lang w:eastAsia="zh-CN"/>
        </w:rPr>
        <w:t xml:space="preserve"> &lt; 0.05 indicates statistical significance. CAI, chronic ankle instability; fPC, functional principal component; sEMG, surface electromyography.</w:t>
      </w:r>
    </w:p>
    <w:p w14:paraId="6AAB132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4D7F7D"/>
    <w:rsid w:val="364D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35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276" w:lineRule="auto"/>
    </w:pPr>
    <w:rPr>
      <w:rFonts w:ascii="Times New Roman" w:hAnsi="Times New Roman" w:eastAsia="Times New Roman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874CB" w:themeColor="accent1"/>
      <w:sz w:val="18"/>
      <w:szCs w:val="18"/>
      <w14:textFill>
        <w14:solidFill>
          <w14:schemeClr w14:val="accent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2026-08-11T17:32:00Z</dcterms:created>
  <dc:creator>zl</dc:creator>
  <cp:lastModifiedBy>zl</cp:lastModifiedBy>
  <dcterms:modified xsi:type="dcterms:W3CDTF">2026-08-11T17:33:13Z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4DBAC22517B8405A850F7733ADF55D12_11</vt:lpwstr>
  </property>
  <property fmtid="{D5CDD505-2E9C-101B-9397-08002B2CF9AE}" pid="4" name="KSOTemplateDocerSaveRecord">
    <vt:lpwstr>eyJoZGlkIjoiMzEwNTM5NzYwMDRjMzkwZTVkZjY2ODkwMGIxNGU0OTUiLCJ1c2VySWQiOiI0MTYzMDkzMjgifQ==</vt:lpwstr>
  </property>
</Properties>
</file>