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044D" w14:textId="77777777" w:rsidR="00051E84" w:rsidRDefault="00051E84" w:rsidP="00051E84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Table S1. Exploratory posterior comparisons between selected cohorts.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1"/>
        <w:gridCol w:w="2283"/>
        <w:gridCol w:w="2142"/>
      </w:tblGrid>
      <w:tr w:rsidR="00051E84" w14:paraId="6A7A6784" w14:textId="77777777" w:rsidTr="00A34090">
        <w:trPr>
          <w:jc w:val="center"/>
        </w:trPr>
        <w:tc>
          <w:tcPr>
            <w:tcW w:w="46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CABC0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Comparison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5E448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Direction evaluated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36304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Posterior probability</w:t>
            </w:r>
          </w:p>
        </w:tc>
      </w:tr>
      <w:tr w:rsidR="00051E84" w14:paraId="50AA2246" w14:textId="77777777" w:rsidTr="00A34090">
        <w:trPr>
          <w:jc w:val="center"/>
        </w:trPr>
        <w:tc>
          <w:tcPr>
            <w:tcW w:w="4602" w:type="dxa"/>
            <w:tcBorders>
              <w:top w:val="single" w:sz="4" w:space="0" w:color="auto"/>
            </w:tcBorders>
            <w:vAlign w:val="center"/>
          </w:tcPr>
          <w:p w14:paraId="74E235B3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vs VISION: grade ≥3 anemia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vAlign w:val="center"/>
          </w:tcPr>
          <w:p w14:paraId="253312CF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lower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33654F90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99.8%</w:t>
            </w:r>
          </w:p>
        </w:tc>
      </w:tr>
      <w:tr w:rsidR="00051E84" w14:paraId="325CAF13" w14:textId="77777777" w:rsidTr="00A34090">
        <w:trPr>
          <w:jc w:val="center"/>
        </w:trPr>
        <w:tc>
          <w:tcPr>
            <w:tcW w:w="4602" w:type="dxa"/>
            <w:vAlign w:val="center"/>
          </w:tcPr>
          <w:p w14:paraId="29F1C4E7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vs VISION: grade ≥3 thrombocytopenia</w:t>
            </w:r>
          </w:p>
        </w:tc>
        <w:tc>
          <w:tcPr>
            <w:tcW w:w="2283" w:type="dxa"/>
            <w:vAlign w:val="center"/>
          </w:tcPr>
          <w:p w14:paraId="3B1B93DB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lower</w:t>
            </w:r>
          </w:p>
        </w:tc>
        <w:tc>
          <w:tcPr>
            <w:tcW w:w="2142" w:type="dxa"/>
            <w:vAlign w:val="center"/>
          </w:tcPr>
          <w:p w14:paraId="2C040C68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99.</w:t>
            </w:r>
            <w:r>
              <w:rPr>
                <w:rFonts w:eastAsia="SimSun" w:cs="Times New Roman" w:hint="eastAsia"/>
                <w:sz w:val="20"/>
                <w:szCs w:val="20"/>
                <w:lang w:eastAsia="zh-CN"/>
              </w:rPr>
              <w:t>9</w:t>
            </w:r>
            <w:r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051E84" w14:paraId="6202FCEB" w14:textId="77777777" w:rsidTr="00A34090">
        <w:trPr>
          <w:jc w:val="center"/>
        </w:trPr>
        <w:tc>
          <w:tcPr>
            <w:tcW w:w="4602" w:type="dxa"/>
            <w:vAlign w:val="center"/>
          </w:tcPr>
          <w:p w14:paraId="28B535B5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vs VISION: grade ≥3 neutropenia</w:t>
            </w:r>
          </w:p>
        </w:tc>
        <w:tc>
          <w:tcPr>
            <w:tcW w:w="2283" w:type="dxa"/>
            <w:vAlign w:val="center"/>
          </w:tcPr>
          <w:p w14:paraId="4ADA375F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lower</w:t>
            </w:r>
          </w:p>
        </w:tc>
        <w:tc>
          <w:tcPr>
            <w:tcW w:w="2142" w:type="dxa"/>
            <w:vAlign w:val="center"/>
          </w:tcPr>
          <w:p w14:paraId="308B1074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SimSun" w:cs="Times New Roman" w:hint="eastAsia"/>
                <w:sz w:val="20"/>
                <w:szCs w:val="20"/>
                <w:lang w:eastAsia="zh-CN"/>
              </w:rPr>
              <w:t>94.6</w:t>
            </w:r>
            <w:r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051E84" w14:paraId="2F39FA73" w14:textId="77777777" w:rsidTr="00A34090">
        <w:trPr>
          <w:jc w:val="center"/>
        </w:trPr>
        <w:tc>
          <w:tcPr>
            <w:tcW w:w="4602" w:type="dxa"/>
            <w:vAlign w:val="center"/>
          </w:tcPr>
          <w:p w14:paraId="27ADA7DA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vs VISION: eGFR decrease</w:t>
            </w:r>
          </w:p>
        </w:tc>
        <w:tc>
          <w:tcPr>
            <w:tcW w:w="2283" w:type="dxa"/>
            <w:vAlign w:val="center"/>
          </w:tcPr>
          <w:p w14:paraId="4C0D1FED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lower</w:t>
            </w:r>
          </w:p>
        </w:tc>
        <w:tc>
          <w:tcPr>
            <w:tcW w:w="2142" w:type="dxa"/>
            <w:vAlign w:val="center"/>
          </w:tcPr>
          <w:p w14:paraId="2E8E96BF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98.5%</w:t>
            </w:r>
          </w:p>
        </w:tc>
      </w:tr>
      <w:tr w:rsidR="00051E84" w14:paraId="1263A7EB" w14:textId="77777777" w:rsidTr="00A34090">
        <w:trPr>
          <w:jc w:val="center"/>
        </w:trPr>
        <w:tc>
          <w:tcPr>
            <w:tcW w:w="4602" w:type="dxa"/>
            <w:vAlign w:val="center"/>
          </w:tcPr>
          <w:p w14:paraId="5E49D82E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vs VISION: AE-related discontinuation</w:t>
            </w:r>
          </w:p>
        </w:tc>
        <w:tc>
          <w:tcPr>
            <w:tcW w:w="2283" w:type="dxa"/>
            <w:vAlign w:val="center"/>
          </w:tcPr>
          <w:p w14:paraId="51F744B6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PSMAfore lower</w:t>
            </w:r>
          </w:p>
        </w:tc>
        <w:tc>
          <w:tcPr>
            <w:tcW w:w="2142" w:type="dxa"/>
            <w:vAlign w:val="center"/>
          </w:tcPr>
          <w:p w14:paraId="1613D874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99.</w:t>
            </w:r>
            <w:r>
              <w:rPr>
                <w:rFonts w:eastAsia="SimSun"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051E84" w14:paraId="1ADCC936" w14:textId="77777777" w:rsidTr="00A34090">
        <w:trPr>
          <w:jc w:val="center"/>
        </w:trPr>
        <w:tc>
          <w:tcPr>
            <w:tcW w:w="4602" w:type="dxa"/>
            <w:vAlign w:val="center"/>
          </w:tcPr>
          <w:p w14:paraId="142DAAAE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US expanded-access vs VISION: grade ≥3 anemia</w:t>
            </w:r>
          </w:p>
        </w:tc>
        <w:tc>
          <w:tcPr>
            <w:tcW w:w="2283" w:type="dxa"/>
            <w:vAlign w:val="center"/>
          </w:tcPr>
          <w:p w14:paraId="36F9938D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Expanded-access higher</w:t>
            </w:r>
          </w:p>
        </w:tc>
        <w:tc>
          <w:tcPr>
            <w:tcW w:w="2142" w:type="dxa"/>
            <w:vAlign w:val="center"/>
          </w:tcPr>
          <w:p w14:paraId="1F9E66DC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91.8%</w:t>
            </w:r>
          </w:p>
        </w:tc>
      </w:tr>
      <w:tr w:rsidR="00051E84" w14:paraId="437137D4" w14:textId="77777777" w:rsidTr="00A34090">
        <w:trPr>
          <w:jc w:val="center"/>
        </w:trPr>
        <w:tc>
          <w:tcPr>
            <w:tcW w:w="4602" w:type="dxa"/>
            <w:vAlign w:val="center"/>
          </w:tcPr>
          <w:p w14:paraId="231FD471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US expanded-access vs VISION: grade ≥3 thrombocytopenia</w:t>
            </w:r>
          </w:p>
        </w:tc>
        <w:tc>
          <w:tcPr>
            <w:tcW w:w="2283" w:type="dxa"/>
            <w:vAlign w:val="center"/>
          </w:tcPr>
          <w:p w14:paraId="1725B2E4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Expanded-access higher</w:t>
            </w:r>
          </w:p>
        </w:tc>
        <w:tc>
          <w:tcPr>
            <w:tcW w:w="2142" w:type="dxa"/>
            <w:vAlign w:val="center"/>
          </w:tcPr>
          <w:p w14:paraId="1C4CA561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92.8%</w:t>
            </w:r>
          </w:p>
        </w:tc>
      </w:tr>
      <w:tr w:rsidR="00051E84" w14:paraId="7250D4E9" w14:textId="77777777" w:rsidTr="00A34090">
        <w:trPr>
          <w:jc w:val="center"/>
        </w:trPr>
        <w:tc>
          <w:tcPr>
            <w:tcW w:w="4602" w:type="dxa"/>
            <w:vAlign w:val="center"/>
          </w:tcPr>
          <w:p w14:paraId="6977A5B1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2025 pre-taxane vs PSMAfore: grade ≥3 anemia</w:t>
            </w:r>
          </w:p>
        </w:tc>
        <w:tc>
          <w:tcPr>
            <w:tcW w:w="2283" w:type="dxa"/>
            <w:vAlign w:val="center"/>
          </w:tcPr>
          <w:p w14:paraId="2E1C63CC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higher</w:t>
            </w:r>
          </w:p>
        </w:tc>
        <w:tc>
          <w:tcPr>
            <w:tcW w:w="2142" w:type="dxa"/>
            <w:vAlign w:val="center"/>
          </w:tcPr>
          <w:p w14:paraId="122D638D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52.6%</w:t>
            </w:r>
          </w:p>
        </w:tc>
      </w:tr>
      <w:tr w:rsidR="00051E84" w14:paraId="2BAD851D" w14:textId="77777777" w:rsidTr="00A34090">
        <w:trPr>
          <w:jc w:val="center"/>
        </w:trPr>
        <w:tc>
          <w:tcPr>
            <w:tcW w:w="4602" w:type="dxa"/>
            <w:vAlign w:val="center"/>
          </w:tcPr>
          <w:p w14:paraId="2204F3CB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2025 pre-taxane vs PSMAfore: grade ≥3 thrombocytopenia</w:t>
            </w:r>
          </w:p>
        </w:tc>
        <w:tc>
          <w:tcPr>
            <w:tcW w:w="2283" w:type="dxa"/>
            <w:vAlign w:val="center"/>
          </w:tcPr>
          <w:p w14:paraId="3309840B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higher</w:t>
            </w:r>
          </w:p>
        </w:tc>
        <w:tc>
          <w:tcPr>
            <w:tcW w:w="2142" w:type="dxa"/>
            <w:vAlign w:val="center"/>
          </w:tcPr>
          <w:p w14:paraId="0F1B76E9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96.9%</w:t>
            </w:r>
          </w:p>
        </w:tc>
      </w:tr>
      <w:tr w:rsidR="00051E84" w14:paraId="2CAC114A" w14:textId="77777777" w:rsidTr="00A34090">
        <w:trPr>
          <w:jc w:val="center"/>
        </w:trPr>
        <w:tc>
          <w:tcPr>
            <w:tcW w:w="4602" w:type="dxa"/>
            <w:vAlign w:val="center"/>
          </w:tcPr>
          <w:p w14:paraId="3AD8736A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2025 post-taxane vs VISION: grade ≥3 anemia</w:t>
            </w:r>
          </w:p>
        </w:tc>
        <w:tc>
          <w:tcPr>
            <w:tcW w:w="2283" w:type="dxa"/>
            <w:vAlign w:val="center"/>
          </w:tcPr>
          <w:p w14:paraId="1CD08719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lower</w:t>
            </w:r>
          </w:p>
        </w:tc>
        <w:tc>
          <w:tcPr>
            <w:tcW w:w="2142" w:type="dxa"/>
            <w:vAlign w:val="center"/>
          </w:tcPr>
          <w:p w14:paraId="06DB788B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91.6%</w:t>
            </w:r>
          </w:p>
        </w:tc>
      </w:tr>
      <w:tr w:rsidR="00051E84" w14:paraId="1A32B3AA" w14:textId="77777777" w:rsidTr="00A34090">
        <w:trPr>
          <w:jc w:val="center"/>
        </w:trPr>
        <w:tc>
          <w:tcPr>
            <w:tcW w:w="4602" w:type="dxa"/>
            <w:tcBorders>
              <w:bottom w:val="single" w:sz="4" w:space="0" w:color="auto"/>
            </w:tcBorders>
            <w:vAlign w:val="center"/>
          </w:tcPr>
          <w:p w14:paraId="601FFE7A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2025 post-taxane vs VISION: grade ≥3 thrombocytopenia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vAlign w:val="center"/>
          </w:tcPr>
          <w:p w14:paraId="467269CF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Izumi lower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2E51FBB9" w14:textId="77777777" w:rsidR="00051E84" w:rsidRDefault="00051E84" w:rsidP="00A340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80.1%</w:t>
            </w:r>
          </w:p>
        </w:tc>
      </w:tr>
    </w:tbl>
    <w:p w14:paraId="262330DD" w14:textId="77777777" w:rsidR="00051E84" w:rsidRDefault="00051E84" w:rsidP="00051E84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Comparisons were post hoc, unadjusted, descriptive, and hypothesis-generating, and should not be interpreted causally.</w:t>
      </w:r>
      <w:r>
        <w:rPr>
          <w:rFonts w:eastAsia="SimSun" w:cs="Times New Roman" w:hint="eastAsia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 xml:space="preserve"> AE, adverse event; eGFR, estimated glomerular filtration rate.</w:t>
      </w:r>
    </w:p>
    <w:p w14:paraId="2F16594A" w14:textId="77777777" w:rsidR="00051E84" w:rsidRDefault="00051E84" w:rsidP="00051E84"/>
    <w:p w14:paraId="770B241D" w14:textId="77777777" w:rsidR="00EB4A2D" w:rsidRDefault="00EB4A2D"/>
    <w:sectPr w:rsidR="00EB4A2D" w:rsidSect="00051E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84"/>
    <w:rsid w:val="00051E84"/>
    <w:rsid w:val="001314C1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D31E"/>
  <w15:chartTrackingRefBased/>
  <w15:docId w15:val="{93B6A419-3FA0-4436-8AC6-2A7DDB8D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E84"/>
    <w:pPr>
      <w:spacing w:after="200" w:line="276" w:lineRule="auto"/>
    </w:pPr>
    <w:rPr>
      <w:rFonts w:ascii="Times New Roman" w:eastAsiaTheme="minorEastAsia" w:hAnsi="Times New Roman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E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E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E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E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E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E8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E8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E8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E8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E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E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1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E8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1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E8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1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E8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1E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E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2026-09-14T07:18:00Z</dcterms:created>
  <dcterms:modified xsi:type="dcterms:W3CDTF">2026-09-14T07:18:00Z</dcterms:modified>
</cp:coreProperties>
</file>