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976FE" w14:textId="77777777" w:rsidR="00FE5FCD" w:rsidRDefault="00FE5FCD" w:rsidP="00FE5FCD">
      <w:pPr>
        <w:tabs>
          <w:tab w:val="left" w:pos="1970"/>
        </w:tabs>
        <w:rPr>
          <w:rFonts w:eastAsiaTheme="minorEastAsia"/>
        </w:rPr>
      </w:pPr>
      <w:r w:rsidRPr="003473F5">
        <w:rPr>
          <w:rFonts w:eastAsiaTheme="minorEastAsia"/>
          <w:noProof/>
        </w:rPr>
        <w:drawing>
          <wp:inline distT="0" distB="0" distL="0" distR="0" wp14:anchorId="09BB07E7" wp14:editId="672AF053">
            <wp:extent cx="9168876" cy="3769743"/>
            <wp:effectExtent l="0" t="0" r="0" b="254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E2548F1-7CF4-1C64-52FD-AD67B12190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E2548F1-7CF4-1C64-52FD-AD67B12190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79640" cy="377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6BC7F" w14:textId="77777777" w:rsidR="00FE5FCD" w:rsidRDefault="00FE5FCD" w:rsidP="00FE5FCD">
      <w:pPr>
        <w:tabs>
          <w:tab w:val="left" w:pos="1970"/>
        </w:tabs>
        <w:rPr>
          <w:rFonts w:eastAsiaTheme="minorEastAsia"/>
        </w:rPr>
      </w:pPr>
      <w:r w:rsidRPr="0F2BA76C">
        <w:rPr>
          <w:rFonts w:eastAsiaTheme="minorEastAsia"/>
        </w:rPr>
        <w:t>Figure S1: Input metrics used to calculate the spatial hazard index (SHI) for the EAC jet region over the shelf (30-200 m isobaths). Columns show mean MHW frequency, mean duration, mean intensity, seasonality, and the resulting SHI. The upper row represents surface-derived metrics and the lower row represents seafloor-derived metrics</w:t>
      </w:r>
    </w:p>
    <w:p w14:paraId="373A4641" w14:textId="77777777" w:rsidR="00FE5FCD" w:rsidRDefault="00FE5FCD" w:rsidP="00FE5FCD"/>
    <w:p w14:paraId="51A5F797" w14:textId="77777777" w:rsidR="00FE5FCD" w:rsidRDefault="00FE5FCD" w:rsidP="00FE5FCD"/>
    <w:p w14:paraId="67183CBC" w14:textId="77777777" w:rsidR="00FE5FCD" w:rsidRDefault="00FE5FCD" w:rsidP="00FE5FCD"/>
    <w:p w14:paraId="27DEF32E" w14:textId="77777777" w:rsidR="00FE5FCD" w:rsidRDefault="00FE5FCD" w:rsidP="00FE5FCD"/>
    <w:p w14:paraId="2F24015B" w14:textId="77777777" w:rsidR="00FE5FCD" w:rsidRDefault="00FE5FCD" w:rsidP="00FE5FCD">
      <w:r w:rsidRPr="009205E5">
        <w:rPr>
          <w:noProof/>
        </w:rPr>
        <w:lastRenderedPageBreak/>
        <w:drawing>
          <wp:inline distT="0" distB="0" distL="0" distR="0" wp14:anchorId="75527DF6" wp14:editId="78B73016">
            <wp:extent cx="8863330" cy="3638550"/>
            <wp:effectExtent l="0" t="0" r="0" b="0"/>
            <wp:docPr id="156730113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162AA1F-39C1-ED65-3547-D62D5F0FB3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9162AA1F-39C1-ED65-3547-D62D5F0FB3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CB24" w14:textId="77777777" w:rsidR="00FE5FCD" w:rsidRDefault="00FE5FCD" w:rsidP="00FE5FCD">
      <w:pPr>
        <w:tabs>
          <w:tab w:val="left" w:pos="1970"/>
        </w:tabs>
        <w:rPr>
          <w:rFonts w:eastAsiaTheme="minorEastAsia"/>
        </w:rPr>
      </w:pPr>
      <w:r w:rsidRPr="0F2BA76C">
        <w:rPr>
          <w:rFonts w:eastAsiaTheme="minorEastAsia"/>
        </w:rPr>
        <w:t>Figure S2: Input metrics used to calculate the spatial hazard index (SHI) for the separation zone over the shelf (30-200 m isobaths). Columns show mean MHW frequency, mean duration, mean intensity, seasonality, and the resulting SHI. The upper row represents surface-derived metrics and the lower row represents seafloor-derived metrics</w:t>
      </w:r>
    </w:p>
    <w:p w14:paraId="3701D7B4" w14:textId="77777777" w:rsidR="00FE5FCD" w:rsidRDefault="00FE5FCD" w:rsidP="00FE5FCD"/>
    <w:p w14:paraId="5CBCF3FF" w14:textId="77777777" w:rsidR="00FE5FCD" w:rsidRDefault="00FE5FCD" w:rsidP="00FE5FCD"/>
    <w:p w14:paraId="57E97525" w14:textId="77777777" w:rsidR="00FE5FCD" w:rsidRDefault="00FE5FCD" w:rsidP="00FE5FCD"/>
    <w:p w14:paraId="5C911A5D" w14:textId="1649DF50" w:rsidR="00FE5FCD" w:rsidRDefault="00FE5FCD" w:rsidP="00FE5FCD"/>
    <w:p w14:paraId="45AD5147" w14:textId="2194D9C4" w:rsidR="00FE5FCD" w:rsidRDefault="00FE5FCD" w:rsidP="00FE5FCD">
      <w:r w:rsidRPr="009205E5">
        <w:rPr>
          <w:noProof/>
        </w:rPr>
        <w:lastRenderedPageBreak/>
        <w:drawing>
          <wp:inline distT="0" distB="0" distL="0" distR="0" wp14:anchorId="26BCC796" wp14:editId="33418841">
            <wp:extent cx="8863330" cy="3638550"/>
            <wp:effectExtent l="0" t="0" r="0" b="0"/>
            <wp:docPr id="200652490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5B8C2B3-B9C6-9A32-DA7D-AE4C23E5CA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95B8C2B3-B9C6-9A32-DA7D-AE4C23E5CA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CEFFD" w14:textId="77777777" w:rsidR="00FE5FCD" w:rsidRDefault="00FE5FCD" w:rsidP="00FE5FCD">
      <w:pPr>
        <w:tabs>
          <w:tab w:val="left" w:pos="1970"/>
        </w:tabs>
        <w:rPr>
          <w:rFonts w:eastAsiaTheme="minorEastAsia"/>
        </w:rPr>
      </w:pPr>
      <w:r w:rsidRPr="0F2BA76C">
        <w:rPr>
          <w:rFonts w:eastAsiaTheme="minorEastAsia"/>
        </w:rPr>
        <w:t>Figure S3: Input metrics used to calculate the spatial hazard index (SHI) for the southern extension over the shelf (30-200 m isobaths). Columns show mean MHW frequency, mean duration, mean intensity, seasonality, and the resulting SHI. The upper row represents surface-derived metrics and the lower row represents seafloor-derived metrics</w:t>
      </w:r>
    </w:p>
    <w:p w14:paraId="2513F56C" w14:textId="4A92B8CF" w:rsidR="00FE5FCD" w:rsidRDefault="0021469D" w:rsidP="00FE5FCD">
      <w:pPr>
        <w:tabs>
          <w:tab w:val="left" w:pos="1970"/>
        </w:tabs>
        <w:jc w:val="center"/>
        <w:rPr>
          <w:rFonts w:eastAsiaTheme="minorEastAsia"/>
        </w:rPr>
      </w:pPr>
      <w:r w:rsidRPr="0021469D">
        <w:rPr>
          <w:rFonts w:eastAsiaTheme="minorEastAsia"/>
        </w:rPr>
        <w:lastRenderedPageBreak/>
        <w:drawing>
          <wp:inline distT="0" distB="0" distL="0" distR="0" wp14:anchorId="39C4B65D" wp14:editId="495B0856">
            <wp:extent cx="6400800" cy="4597614"/>
            <wp:effectExtent l="0" t="0" r="0" b="0"/>
            <wp:docPr id="386993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9938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8560" cy="461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F4A9" w14:textId="78024462" w:rsidR="00FE5FCD" w:rsidRDefault="00FE5FCD" w:rsidP="00FE5FCD">
      <w:pPr>
        <w:tabs>
          <w:tab w:val="left" w:pos="1970"/>
        </w:tabs>
        <w:rPr>
          <w:rFonts w:eastAsiaTheme="minorEastAsia"/>
        </w:rPr>
      </w:pPr>
      <w:r>
        <w:rPr>
          <w:rFonts w:eastAsiaTheme="minorEastAsia"/>
        </w:rPr>
        <w:t xml:space="preserve">Figure S4: </w:t>
      </w:r>
      <w:r w:rsidRPr="00E906B4">
        <w:rPr>
          <w:rFonts w:eastAsiaTheme="minorEastAsia"/>
        </w:rPr>
        <w:t xml:space="preserve">Sensitivity analysis showing how regional MHW hazard patterns respond to increasing values of the seasonality weighting parameter, α, for surface and seafloor. Rows show </w:t>
      </w:r>
      <w:r>
        <w:rPr>
          <w:rFonts w:eastAsiaTheme="minorEastAsia"/>
        </w:rPr>
        <w:t xml:space="preserve">the three </w:t>
      </w:r>
      <w:r w:rsidRPr="00E906B4">
        <w:rPr>
          <w:rFonts w:eastAsiaTheme="minorEastAsia"/>
        </w:rPr>
        <w:t xml:space="preserve">diagnostics </w:t>
      </w:r>
      <w:r>
        <w:rPr>
          <w:rFonts w:eastAsiaTheme="minorEastAsia"/>
        </w:rPr>
        <w:t xml:space="preserve">tools as the </w:t>
      </w:r>
      <w:r w:rsidRPr="00E906B4">
        <w:rPr>
          <w:rFonts w:eastAsiaTheme="minorEastAsia"/>
        </w:rPr>
        <w:t xml:space="preserve">Spearman rank correlation, overlap of the upper </w:t>
      </w:r>
      <w:r w:rsidR="00E94DDA">
        <w:rPr>
          <w:rFonts w:eastAsiaTheme="minorEastAsia"/>
        </w:rPr>
        <w:t>2</w:t>
      </w:r>
      <w:r w:rsidRPr="00E906B4">
        <w:rPr>
          <w:rFonts w:eastAsiaTheme="minorEastAsia"/>
        </w:rPr>
        <w:t xml:space="preserve">0% </w:t>
      </w:r>
      <w:r>
        <w:rPr>
          <w:rFonts w:eastAsiaTheme="minorEastAsia"/>
        </w:rPr>
        <w:t>grid cells</w:t>
      </w:r>
      <w:r w:rsidRPr="00E906B4">
        <w:rPr>
          <w:rFonts w:eastAsiaTheme="minorEastAsia"/>
        </w:rPr>
        <w:t xml:space="preserve">, and Jaccard </w:t>
      </w:r>
      <w:r>
        <w:rPr>
          <w:rFonts w:eastAsiaTheme="minorEastAsia"/>
        </w:rPr>
        <w:t>index</w:t>
      </w:r>
      <w:r w:rsidRPr="00E906B4">
        <w:rPr>
          <w:rFonts w:eastAsiaTheme="minorEastAsia"/>
        </w:rPr>
        <w:t xml:space="preserve">. </w:t>
      </w:r>
      <w:r>
        <w:rPr>
          <w:rFonts w:eastAsiaTheme="minorEastAsia"/>
        </w:rPr>
        <w:t>The shaded lines</w:t>
      </w:r>
      <w:r w:rsidRPr="00E906B4">
        <w:rPr>
          <w:rFonts w:eastAsiaTheme="minorEastAsia"/>
        </w:rPr>
        <w:t xml:space="preserve"> represent the three</w:t>
      </w:r>
      <w:r>
        <w:rPr>
          <w:rFonts w:eastAsiaTheme="minorEastAsia"/>
        </w:rPr>
        <w:t xml:space="preserve"> different study regions of the </w:t>
      </w:r>
      <w:r w:rsidRPr="00E906B4">
        <w:rPr>
          <w:rFonts w:eastAsiaTheme="minorEastAsia"/>
        </w:rPr>
        <w:t>EAC jet, separation zone</w:t>
      </w:r>
      <w:r>
        <w:rPr>
          <w:rFonts w:eastAsiaTheme="minorEastAsia"/>
        </w:rPr>
        <w:t>,</w:t>
      </w:r>
      <w:r w:rsidRPr="00E906B4">
        <w:rPr>
          <w:rFonts w:eastAsiaTheme="minorEastAsia"/>
        </w:rPr>
        <w:t xml:space="preserve"> and southern extension. Horizontal dashed red lines indicate the selected stability thresholds for each diagnostic, and the vertical dotted red line indicates the α value</w:t>
      </w:r>
      <w:r>
        <w:rPr>
          <w:rFonts w:eastAsiaTheme="minorEastAsia"/>
        </w:rPr>
        <w:t xml:space="preserve"> where one of the regions or depths deviate over that threshold</w:t>
      </w:r>
      <w:r w:rsidRPr="00E906B4">
        <w:rPr>
          <w:rFonts w:eastAsiaTheme="minorEastAsia"/>
        </w:rPr>
        <w:t>.</w:t>
      </w:r>
    </w:p>
    <w:p w14:paraId="19BB6E96" w14:textId="1445466B" w:rsidR="00DC08B7" w:rsidRDefault="00BC0DFF" w:rsidP="00BC0DFF">
      <w:pPr>
        <w:tabs>
          <w:tab w:val="left" w:pos="1970"/>
        </w:tabs>
        <w:jc w:val="center"/>
        <w:rPr>
          <w:rFonts w:eastAsiaTheme="minorEastAsia"/>
        </w:rPr>
      </w:pPr>
      <w:r w:rsidRPr="00BC0DFF">
        <w:rPr>
          <w:rFonts w:eastAsiaTheme="minorEastAsia"/>
        </w:rPr>
        <w:lastRenderedPageBreak/>
        <w:drawing>
          <wp:inline distT="0" distB="0" distL="0" distR="0" wp14:anchorId="40AB3600" wp14:editId="23F7902A">
            <wp:extent cx="5931673" cy="4260646"/>
            <wp:effectExtent l="0" t="0" r="0" b="6985"/>
            <wp:docPr id="751081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818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212" cy="426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16B1">
        <w:rPr>
          <w:rFonts w:eastAsiaTheme="minorEastAsia"/>
        </w:rPr>
        <w:br w:type="textWrapping" w:clear="all"/>
      </w:r>
    </w:p>
    <w:p w14:paraId="5B6F282C" w14:textId="3A24426E" w:rsidR="00F37045" w:rsidRPr="00DC08B7" w:rsidRDefault="00DC08B7" w:rsidP="00DC08B7">
      <w:pPr>
        <w:tabs>
          <w:tab w:val="left" w:pos="1970"/>
        </w:tabs>
        <w:rPr>
          <w:rFonts w:eastAsiaTheme="minorEastAsia"/>
        </w:rPr>
      </w:pPr>
      <w:r w:rsidRPr="00DC08B7">
        <w:rPr>
          <w:rFonts w:eastAsiaTheme="minorEastAsia"/>
        </w:rPr>
        <w:t xml:space="preserve"> </w:t>
      </w:r>
      <w:r w:rsidRPr="00736234">
        <w:rPr>
          <w:rFonts w:eastAsiaTheme="minorEastAsia"/>
        </w:rPr>
        <w:t>Figure S</w:t>
      </w:r>
      <w:r>
        <w:rPr>
          <w:rFonts w:eastAsiaTheme="minorEastAsia"/>
        </w:rPr>
        <w:t>5</w:t>
      </w:r>
      <w:r w:rsidRPr="00736234">
        <w:rPr>
          <w:rFonts w:eastAsiaTheme="minorEastAsia"/>
        </w:rPr>
        <w:t xml:space="preserve">: </w:t>
      </w:r>
      <w:r w:rsidRPr="00E906B4">
        <w:rPr>
          <w:rFonts w:eastAsiaTheme="minorEastAsia"/>
        </w:rPr>
        <w:t xml:space="preserve">Sensitivity analysis showing how regional MHW hazard patterns respond to increasing values of the </w:t>
      </w:r>
      <w:r>
        <w:rPr>
          <w:rFonts w:eastAsiaTheme="minorEastAsia"/>
        </w:rPr>
        <w:t>long-term trend</w:t>
      </w:r>
      <w:r w:rsidRPr="00E906B4">
        <w:rPr>
          <w:rFonts w:eastAsiaTheme="minorEastAsia"/>
        </w:rPr>
        <w:t xml:space="preserve"> weighting parameter, </w:t>
      </w:r>
      <w:r>
        <w:rPr>
          <w:rFonts w:eastAsiaTheme="minorEastAsia"/>
        </w:rPr>
        <w:t>k</w:t>
      </w:r>
      <w:r w:rsidRPr="00E906B4">
        <w:rPr>
          <w:rFonts w:eastAsiaTheme="minorEastAsia"/>
        </w:rPr>
        <w:t xml:space="preserve">, for surface and seafloor. Rows show </w:t>
      </w:r>
      <w:r>
        <w:rPr>
          <w:rFonts w:eastAsiaTheme="minorEastAsia"/>
        </w:rPr>
        <w:t xml:space="preserve">the three </w:t>
      </w:r>
      <w:r w:rsidRPr="00E906B4">
        <w:rPr>
          <w:rFonts w:eastAsiaTheme="minorEastAsia"/>
        </w:rPr>
        <w:t xml:space="preserve">diagnostics </w:t>
      </w:r>
      <w:r>
        <w:rPr>
          <w:rFonts w:eastAsiaTheme="minorEastAsia"/>
        </w:rPr>
        <w:t xml:space="preserve">tools as the </w:t>
      </w:r>
      <w:r w:rsidRPr="00E906B4">
        <w:rPr>
          <w:rFonts w:eastAsiaTheme="minorEastAsia"/>
        </w:rPr>
        <w:t xml:space="preserve">Spearman rank correlation, overlap of the upper </w:t>
      </w:r>
      <w:r w:rsidR="00E94DDA">
        <w:rPr>
          <w:rFonts w:eastAsiaTheme="minorEastAsia"/>
        </w:rPr>
        <w:t>2</w:t>
      </w:r>
      <w:r w:rsidRPr="00E906B4">
        <w:rPr>
          <w:rFonts w:eastAsiaTheme="minorEastAsia"/>
        </w:rPr>
        <w:t xml:space="preserve">0% </w:t>
      </w:r>
      <w:r>
        <w:rPr>
          <w:rFonts w:eastAsiaTheme="minorEastAsia"/>
        </w:rPr>
        <w:t>grid cells</w:t>
      </w:r>
      <w:r w:rsidRPr="00E906B4">
        <w:rPr>
          <w:rFonts w:eastAsiaTheme="minorEastAsia"/>
        </w:rPr>
        <w:t xml:space="preserve">, and Jaccard </w:t>
      </w:r>
      <w:r>
        <w:rPr>
          <w:rFonts w:eastAsiaTheme="minorEastAsia"/>
        </w:rPr>
        <w:t>index</w:t>
      </w:r>
      <w:r w:rsidRPr="00E906B4">
        <w:rPr>
          <w:rFonts w:eastAsiaTheme="minorEastAsia"/>
        </w:rPr>
        <w:t xml:space="preserve">. </w:t>
      </w:r>
      <w:r>
        <w:rPr>
          <w:rFonts w:eastAsiaTheme="minorEastAsia"/>
        </w:rPr>
        <w:t>The shaded lines</w:t>
      </w:r>
      <w:r w:rsidRPr="00E906B4">
        <w:rPr>
          <w:rFonts w:eastAsiaTheme="minorEastAsia"/>
        </w:rPr>
        <w:t xml:space="preserve"> represent the three</w:t>
      </w:r>
      <w:r>
        <w:rPr>
          <w:rFonts w:eastAsiaTheme="minorEastAsia"/>
        </w:rPr>
        <w:t xml:space="preserve"> different study regions of the </w:t>
      </w:r>
      <w:r w:rsidRPr="00E906B4">
        <w:rPr>
          <w:rFonts w:eastAsiaTheme="minorEastAsia"/>
        </w:rPr>
        <w:t>EAC jet, separation zone</w:t>
      </w:r>
      <w:r>
        <w:rPr>
          <w:rFonts w:eastAsiaTheme="minorEastAsia"/>
        </w:rPr>
        <w:t>,</w:t>
      </w:r>
      <w:r w:rsidRPr="00E906B4">
        <w:rPr>
          <w:rFonts w:eastAsiaTheme="minorEastAsia"/>
        </w:rPr>
        <w:t xml:space="preserve"> and southern extension. Horizontal dashed red lines indicate the selected stability thresholds for each diagnostic, and the vertical dotted red line indicates the α value</w:t>
      </w:r>
      <w:r>
        <w:rPr>
          <w:rFonts w:eastAsiaTheme="minorEastAsia"/>
        </w:rPr>
        <w:t xml:space="preserve"> where one of the regions or depths deviate over that threshold</w:t>
      </w:r>
      <w:r w:rsidRPr="00E906B4">
        <w:rPr>
          <w:rFonts w:eastAsiaTheme="minorEastAsia"/>
        </w:rPr>
        <w:t>.</w:t>
      </w:r>
    </w:p>
    <w:sectPr w:rsidR="00F37045" w:rsidRPr="00DC08B7" w:rsidSect="00FE5F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CD"/>
    <w:rsid w:val="000760A2"/>
    <w:rsid w:val="000C16B1"/>
    <w:rsid w:val="000F0E7B"/>
    <w:rsid w:val="0021469D"/>
    <w:rsid w:val="00286559"/>
    <w:rsid w:val="00363902"/>
    <w:rsid w:val="009E6572"/>
    <w:rsid w:val="00A43A4D"/>
    <w:rsid w:val="00BC0DFF"/>
    <w:rsid w:val="00DC08B7"/>
    <w:rsid w:val="00E94DDA"/>
    <w:rsid w:val="00F37045"/>
    <w:rsid w:val="00FE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AEBD2"/>
  <w15:chartTrackingRefBased/>
  <w15:docId w15:val="{9D750A7F-D8A0-473D-AE9E-5F3E9013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FCD"/>
  </w:style>
  <w:style w:type="paragraph" w:styleId="Heading1">
    <w:name w:val="heading 1"/>
    <w:basedOn w:val="Normal"/>
    <w:next w:val="Normal"/>
    <w:link w:val="Heading1Char"/>
    <w:uiPriority w:val="9"/>
    <w:qFormat/>
    <w:rsid w:val="00FE5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F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F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F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F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F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F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F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FC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FC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FC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F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F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F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F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F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F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F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Woolley</dc:creator>
  <cp:keywords/>
  <dc:description/>
  <cp:lastModifiedBy>Stephanie Woolley</cp:lastModifiedBy>
  <cp:revision>6</cp:revision>
  <dcterms:created xsi:type="dcterms:W3CDTF">2026-08-28T02:05:00Z</dcterms:created>
  <dcterms:modified xsi:type="dcterms:W3CDTF">2026-09-02T11:56:00Z</dcterms:modified>
</cp:coreProperties>
</file>