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D42C7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Table S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1.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Multivariable Cox regression analysis of IRC-assessed PFS and overall survival (Model 2, excluding BMI)</w:t>
      </w:r>
    </w:p>
    <w:tbl>
      <w:tblPr>
        <w:tblStyle w:val="4"/>
        <w:tblW w:w="841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3"/>
        <w:gridCol w:w="2363"/>
        <w:gridCol w:w="952"/>
        <w:gridCol w:w="2136"/>
        <w:gridCol w:w="984"/>
      </w:tblGrid>
      <w:tr w14:paraId="2D66C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644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Variable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764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IRC-assessed PFS HR </w:t>
            </w:r>
          </w:p>
          <w:p w14:paraId="03393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(95% CI)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999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value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5F5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 HR (95% CI)</w:t>
            </w:r>
          </w:p>
        </w:tc>
        <w:tc>
          <w:tcPr>
            <w:tcW w:w="100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49F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value</w:t>
            </w:r>
          </w:p>
        </w:tc>
      </w:tr>
      <w:tr w14:paraId="1096C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28D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ipid-lowering therapy, yes vs no</w:t>
            </w:r>
          </w:p>
        </w:tc>
        <w:tc>
          <w:tcPr>
            <w:tcW w:w="241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DA2A5D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0.716 (0.517-0.991)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0C3685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right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0.044</w:t>
            </w:r>
          </w:p>
        </w:tc>
        <w:tc>
          <w:tcPr>
            <w:tcW w:w="196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8B1833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0.520 (0.345-0.782)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0B5E62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right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</w:p>
        </w:tc>
      </w:tr>
      <w:tr w14:paraId="3F835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933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Treatment arm, sunitinib vs toripalimab plus axitinib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B3371E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1.561 (1.176-2.071)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652880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right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46DC50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1.234 (0.892-1.707)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9B454B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right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0.203</w:t>
            </w:r>
          </w:p>
        </w:tc>
      </w:tr>
      <w:tr w14:paraId="62F2B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64F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Age, per year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F1CFFC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1.006 (0.991-1.022)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7971E1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right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0.434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41551C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1.015 (0.996-1.035)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034695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right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0.116</w:t>
            </w:r>
          </w:p>
        </w:tc>
      </w:tr>
      <w:tr w14:paraId="013C9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4D7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Sex, female vs male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D549D0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1.039 (0.741-1.456)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821057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right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0.825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0D4CD2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1.255 (0.864-1.825)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CF7FDC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right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0.234</w:t>
            </w:r>
          </w:p>
        </w:tc>
      </w:tr>
      <w:tr w14:paraId="226F0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13E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ECOG performance status, 1 vs 0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4D0FC3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1.035 (0.769-1.393)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646F15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right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0.82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1BEE3E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1.168 (0.827-1.648)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5658F0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right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0.379</w:t>
            </w:r>
          </w:p>
        </w:tc>
      </w:tr>
      <w:tr w14:paraId="1E9FE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993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IMDC risk group, 1 vs 0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0D7288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0.682 (0.476-0.976)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D30F7E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right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0.036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9CB534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0.455 (0.309-0.671)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A32C98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right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46133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08E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Interval from diagnosis to randomization, per month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1129DC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0.987 (0.980-0.995)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EEF5C6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right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8C6ED6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0.992 (0.984-1.000)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2FBBAA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right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0.038</w:t>
            </w:r>
          </w:p>
        </w:tc>
      </w:tr>
      <w:tr w14:paraId="67FD8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05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2D9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Number of metastatic sites, per site increase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2B9367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1.065 (0.935-1.213)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38C0F4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right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0.341</w:t>
            </w:r>
          </w:p>
        </w:tc>
        <w:tc>
          <w:tcPr>
            <w:tcW w:w="196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4BD423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1.069 (0.920-1.242)</w:t>
            </w:r>
          </w:p>
        </w:tc>
        <w:tc>
          <w:tcPr>
            <w:tcW w:w="10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F56128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right"/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0.386</w:t>
            </w:r>
          </w:p>
        </w:tc>
      </w:tr>
    </w:tbl>
    <w:p w14:paraId="3A15A03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Hazard ratios (HRs) and 95% confidence intervals (CIs) were estimated using multivariable Cox proportional hazards models (Model 2), which excluded BMI from the adjustment variables.</w:t>
      </w:r>
    </w:p>
    <w:p w14:paraId="3A49A52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HR &lt; 1 indicates a lower risk of progression or death for PFS and a lower risk of death for OS.</w:t>
      </w:r>
    </w:p>
    <w:p w14:paraId="756BD4E7">
      <w:pPr>
        <w:rPr>
          <w:rFonts w:hint="default" w:ascii="Times New Roman" w:hAnsi="Times New Roman" w:cs="Times New Roman"/>
          <w:sz w:val="24"/>
          <w:szCs w:val="24"/>
        </w:rPr>
      </w:pPr>
    </w:p>
    <w:p w14:paraId="20A67231">
      <w:pP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</w:p>
    <w:p w14:paraId="71ECF84D">
      <w:p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Supplementary Table S2. Interaction analysis between 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lipid-lowering therapy use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and BMI for survival outcomes</w:t>
      </w:r>
    </w:p>
    <w:tbl>
      <w:tblPr>
        <w:tblStyle w:val="4"/>
        <w:tblW w:w="841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9"/>
        <w:gridCol w:w="4045"/>
        <w:gridCol w:w="1792"/>
        <w:gridCol w:w="1162"/>
      </w:tblGrid>
      <w:tr w14:paraId="3EDE4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41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FD13F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  <w:t>Outcome</w:t>
            </w:r>
          </w:p>
        </w:tc>
        <w:tc>
          <w:tcPr>
            <w:tcW w:w="404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2B056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179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CED9D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  <w:t>HR (95% CI)</w:t>
            </w:r>
          </w:p>
        </w:tc>
        <w:tc>
          <w:tcPr>
            <w:tcW w:w="116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DB7D1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  <w:t>P value</w:t>
            </w:r>
          </w:p>
        </w:tc>
      </w:tr>
      <w:tr w14:paraId="14028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DA95E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IRC-assessed PFS</w:t>
            </w:r>
          </w:p>
        </w:tc>
        <w:tc>
          <w:tcPr>
            <w:tcW w:w="404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A16FC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L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ipid-lowering therapy (Yes vs No)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69C51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0.582 (0.371–0.913)</w:t>
            </w:r>
          </w:p>
        </w:tc>
        <w:tc>
          <w:tcPr>
            <w:tcW w:w="116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38BB1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0.019</w:t>
            </w:r>
          </w:p>
        </w:tc>
      </w:tr>
      <w:tr w14:paraId="7BF94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EFF60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A8CF8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BMI group (≥ median vs &lt; median)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9CAD8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0.880 (0.640–1.210)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272EF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0.431</w:t>
            </w:r>
          </w:p>
        </w:tc>
      </w:tr>
      <w:tr w14:paraId="6260C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114AE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068EC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Lipid-lowering therapy × BMI group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BDAB1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1.690 (0.929–3.075)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2ED9B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0.086</w:t>
            </w:r>
          </w:p>
        </w:tc>
      </w:tr>
      <w:tr w14:paraId="731D9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8F6B0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OS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5068C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L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ipid-lowering therapy (Yes vs No)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C34BC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0.635 (0.430–0.939)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456B8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0.023</w:t>
            </w:r>
          </w:p>
        </w:tc>
      </w:tr>
      <w:tr w14:paraId="5EF7A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FA877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8A068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BMI group (≥ median vs &lt; median)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E8EEC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0.841 (0.630–1.122)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72122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0.239</w:t>
            </w:r>
          </w:p>
        </w:tc>
      </w:tr>
      <w:tr w14:paraId="5B501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1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93476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3D69D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Lipid-lowering therapy × BMI group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D2733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1.527 (0.904–2.580)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6034D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0.113</w:t>
            </w:r>
          </w:p>
        </w:tc>
      </w:tr>
    </w:tbl>
    <w:p w14:paraId="40351E6F">
      <w:p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BMI was dichotomized according to the median value. Interaction terms between 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 xml:space="preserve"> lipid-lowering therapy use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and BMI group were included in Cox proportional hazards models. HR &lt; 1 indicates a lower risk of progression or death for PFS and a lower risk of death for OS. P values for interaction correspond to the statistical significance of the interaction term.</w:t>
      </w:r>
    </w:p>
    <w:p w14:paraId="220E7F45">
      <w:pPr>
        <w:rPr>
          <w:rFonts w:hint="default" w:ascii="Times New Roman" w:hAnsi="Times New Roman" w:cs="Times New Roman"/>
          <w:sz w:val="24"/>
          <w:szCs w:val="24"/>
        </w:rPr>
      </w:pPr>
    </w:p>
    <w:p w14:paraId="0934716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Table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sz w:val="24"/>
          <w:szCs w:val="24"/>
        </w:rPr>
        <w:t>. Characteristics of lipid-lowering therapy use among users</w:t>
      </w:r>
    </w:p>
    <w:tbl>
      <w:tblPr>
        <w:tblStyle w:val="4"/>
        <w:tblW w:w="8679" w:type="dxa"/>
        <w:tblInd w:w="-1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8"/>
        <w:gridCol w:w="3301"/>
      </w:tblGrid>
      <w:tr w14:paraId="3D748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9" w:hRule="atLeast"/>
        </w:trPr>
        <w:tc>
          <w:tcPr>
            <w:tcW w:w="537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968EF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Variable</w:t>
            </w:r>
          </w:p>
        </w:tc>
        <w:tc>
          <w:tcPr>
            <w:tcW w:w="330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72BF2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Lipid-lowering therapy users, n = 113</w:t>
            </w:r>
          </w:p>
        </w:tc>
      </w:tr>
      <w:tr w14:paraId="6A786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537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E0C14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Statin use, n (%)</w:t>
            </w:r>
          </w:p>
        </w:tc>
        <w:tc>
          <w:tcPr>
            <w:tcW w:w="330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E21A3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 (80.5)</w:t>
            </w:r>
          </w:p>
        </w:tc>
      </w:tr>
      <w:tr w14:paraId="6D281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7AFD9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Non-statin or non–statin-classified lipid-lowering therapy, n (%)</w:t>
            </w:r>
          </w:p>
        </w:tc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596CD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 (19.5)</w:t>
            </w:r>
          </w:p>
        </w:tc>
      </w:tr>
      <w:tr w14:paraId="68CB1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628A4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Combination lipid-lowering therapy, n (%)</w:t>
            </w:r>
          </w:p>
        </w:tc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23663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 (16.8)</w:t>
            </w:r>
          </w:p>
        </w:tc>
      </w:tr>
      <w:tr w14:paraId="08117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B242E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Statin dose, median (IQR), mg/day</w:t>
            </w:r>
          </w:p>
        </w:tc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AC306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 (10–20)</w:t>
            </w:r>
          </w:p>
        </w:tc>
      </w:tr>
    </w:tbl>
    <w:p w14:paraId="214945D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Abbreviations: IQR, interquartile range.</w:t>
      </w:r>
    </w:p>
    <w:p w14:paraId="41CAB04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Lipid-lowering therapy use was defined based on recorded oral medication use during the study period and was not restricted to baseline use.</w:t>
      </w:r>
    </w:p>
    <w:p w14:paraId="298B5BB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Statin dose was summarized among statin users with available dose information.</w:t>
      </w:r>
    </w:p>
    <w:p w14:paraId="715C7B2F">
      <w:pPr>
        <w:rPr>
          <w:rFonts w:hint="default" w:ascii="Times New Roman" w:hAnsi="Times New Roman" w:cs="Times New Roman"/>
          <w:sz w:val="24"/>
          <w:szCs w:val="24"/>
        </w:rPr>
      </w:pPr>
    </w:p>
    <w:p w14:paraId="16B421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4E5AC5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Supplementary Table S4. Post hoc association between baseline TG and survival outcomes among lipid-lowering therapy users stratified by treatment group</w:t>
      </w:r>
    </w:p>
    <w:tbl>
      <w:tblPr>
        <w:tblStyle w:val="4"/>
        <w:tblW w:w="841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8"/>
        <w:gridCol w:w="1510"/>
        <w:gridCol w:w="2465"/>
        <w:gridCol w:w="1225"/>
      </w:tblGrid>
      <w:tr w14:paraId="34A91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38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3C03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Treatment group</w:t>
            </w:r>
          </w:p>
        </w:tc>
        <w:tc>
          <w:tcPr>
            <w:tcW w:w="123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62DD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Outcome</w:t>
            </w:r>
          </w:p>
        </w:tc>
        <w:tc>
          <w:tcPr>
            <w:tcW w:w="257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BFC6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HR (95% CI), TG &gt;=1.7 vs &lt;1.7 mmol/L</w:t>
            </w:r>
          </w:p>
        </w:tc>
        <w:tc>
          <w:tcPr>
            <w:tcW w:w="122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96AD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Log-rank P value</w:t>
            </w:r>
          </w:p>
        </w:tc>
      </w:tr>
      <w:tr w14:paraId="4F1E4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8EB2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Toripalimab + Axitinib</w:t>
            </w: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A89F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IRC-assessed PFS</w:t>
            </w:r>
          </w:p>
        </w:tc>
        <w:tc>
          <w:tcPr>
            <w:tcW w:w="257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3868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3.21 (1.29-8.03)</w:t>
            </w:r>
          </w:p>
        </w:tc>
        <w:tc>
          <w:tcPr>
            <w:tcW w:w="122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80AC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</w:t>
            </w:r>
          </w:p>
        </w:tc>
      </w:tr>
      <w:tr w14:paraId="5B5F8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25E2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Toripalimab + Axitinib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5989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1AAF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1.90 (0.64-5.68)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AA1F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0.242</w:t>
            </w:r>
          </w:p>
        </w:tc>
      </w:tr>
      <w:tr w14:paraId="1D1DD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4817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Sunitinib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6B16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IRC-assessed PFS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E005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0.43 (0.20-0.94)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1613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0.030</w:t>
            </w:r>
          </w:p>
        </w:tc>
      </w:tr>
      <w:tr w14:paraId="030AA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0339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Sunitinib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D640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A2D2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0.29 (0.10-0.85)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21EB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0.016</w:t>
            </w:r>
          </w:p>
        </w:tc>
      </w:tr>
    </w:tbl>
    <w:p w14:paraId="45F54E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Baseline TG was dichotomized using the clinical cutoff of 1.7 mmol/L. HRs compare TG &gt;=1.7 mmol/L with TG &lt;1.7 mmol/L among lipid-lowering therapy users within each treatment group. P values were calculated using the log-rank test. These analyses were post hoc and were not adjusted for multiple comparisons.</w:t>
      </w:r>
    </w:p>
    <w:p w14:paraId="74F35C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2FAEDC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Table 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z w:val="24"/>
          <w:szCs w:val="24"/>
        </w:rPr>
        <w:t>. Covariate balance before and after IPTW stratified by treatment group</w:t>
      </w:r>
    </w:p>
    <w:tbl>
      <w:tblPr>
        <w:tblStyle w:val="4"/>
        <w:tblW w:w="82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2909"/>
        <w:gridCol w:w="1030"/>
        <w:gridCol w:w="976"/>
        <w:gridCol w:w="1725"/>
      </w:tblGrid>
      <w:tr w14:paraId="64AE3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C46C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Treatment group</w:t>
            </w:r>
          </w:p>
        </w:tc>
        <w:tc>
          <w:tcPr>
            <w:tcW w:w="243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FD7E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Covariate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13DE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SMD before IPTW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578A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SMD after IPTW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728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Balance after IPTW</w:t>
            </w:r>
          </w:p>
        </w:tc>
      </w:tr>
      <w:tr w14:paraId="561A9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C456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Toripalimab + Axitinib</w:t>
            </w:r>
          </w:p>
        </w:tc>
        <w:tc>
          <w:tcPr>
            <w:tcW w:w="24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22F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Age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7838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0.366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56DB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0.085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586A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Balanced</w:t>
            </w:r>
          </w:p>
        </w:tc>
      </w:tr>
      <w:tr w14:paraId="70FB3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4CDC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Toripalimab + Axitinib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5AF5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Female 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12D6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0464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0.015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A59E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Balanced</w:t>
            </w:r>
          </w:p>
        </w:tc>
      </w:tr>
      <w:tr w14:paraId="6CCA9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C9BF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Toripalimab + Axitinib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AE8D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F461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67C1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0.044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E2AD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Balanced</w:t>
            </w:r>
          </w:p>
        </w:tc>
      </w:tr>
      <w:tr w14:paraId="14090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3C8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Toripalimab + Axitinib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2581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ECOG PS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7635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6219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0.005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3814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Balanced</w:t>
            </w:r>
          </w:p>
        </w:tc>
      </w:tr>
      <w:tr w14:paraId="67B14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E53B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Toripalimab + Axitinib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0C5A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Diagnosis-to-randomization interval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FBAB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9A8E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0.004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823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Balanced</w:t>
            </w:r>
          </w:p>
        </w:tc>
      </w:tr>
      <w:tr w14:paraId="2C21D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2345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Toripalimab + Axitinib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BB3F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Number of metastatic sites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560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9D32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0.064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C7A4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Balanced</w:t>
            </w:r>
          </w:p>
        </w:tc>
      </w:tr>
      <w:tr w14:paraId="091EA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DDE9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Sunitinib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155C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9005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201C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0.028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5A14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Balanced</w:t>
            </w:r>
          </w:p>
        </w:tc>
      </w:tr>
      <w:tr w14:paraId="16CDB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D0C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Sunitinib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0015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Female 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DAC1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3BBB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0.013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7374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Balanced</w:t>
            </w:r>
          </w:p>
        </w:tc>
      </w:tr>
      <w:tr w14:paraId="5D47A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0153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Sunitinib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C765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D3A9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D3AB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0.062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DEEC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Balanced</w:t>
            </w:r>
          </w:p>
        </w:tc>
      </w:tr>
      <w:tr w14:paraId="6A56E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868C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Sunitinib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AD01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ECOG PS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A8FD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7C3F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0.054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B50F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Balanced</w:t>
            </w:r>
          </w:p>
        </w:tc>
      </w:tr>
      <w:tr w14:paraId="3AF80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9C9A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Sunitinib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E3B9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Diagnosis-to-randomization interval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F918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1671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0.045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1B57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Balanced</w:t>
            </w:r>
          </w:p>
        </w:tc>
      </w:tr>
      <w:tr w14:paraId="4C180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71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0F5C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Sunitinib</w:t>
            </w:r>
          </w:p>
        </w:tc>
        <w:tc>
          <w:tcPr>
            <w:tcW w:w="243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C6D9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Number of metastatic sites</w:t>
            </w:r>
          </w:p>
        </w:tc>
        <w:tc>
          <w:tcPr>
            <w:tcW w:w="109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E97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0.031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4358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0.011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AF61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Balanced</w:t>
            </w:r>
          </w:p>
        </w:tc>
      </w:tr>
    </w:tbl>
    <w:p w14:paraId="3EE73B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Table note:</w:t>
      </w:r>
      <w:r>
        <w:rPr>
          <w:rFonts w:hint="default" w:ascii="Times New Roman" w:hAnsi="Times New Roman" w:eastAsia="宋体" w:cs="Times New Roman"/>
          <w:sz w:val="24"/>
          <w:szCs w:val="24"/>
        </w:rPr>
        <w:br w:type="textWrapping"/>
      </w:r>
      <w:r>
        <w:rPr>
          <w:rFonts w:hint="default" w:ascii="Times New Roman" w:hAnsi="Times New Roman" w:eastAsia="宋体" w:cs="Times New Roman"/>
          <w:sz w:val="24"/>
          <w:szCs w:val="24"/>
        </w:rPr>
        <w:t>Standardized mean differences were calculated to assess baseline covariate balance between patients with and without lipid-lowering therapy before and after inverse probability of treatment weighting within each treatment group. Stabilized IPTW was estimated using age, sex, BMI, ECOG performance status, diagnosis-to-randomization interval, and number of metastatic sites. An absolute standardized mean difference less than 0.10 was considered indicative of adequate balance. Abbreviations: BMI, body mass index; ECOG, Eastern Cooperative Oncology Group; IPTW, inverse probability of treatment weighting; LLT, lipid-lowering therapy; SMD, standardized mean difference.</w:t>
      </w:r>
    </w:p>
    <w:p w14:paraId="6A0E7B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78B6590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/>
        <w:textAlignment w:val="auto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Table S</w:t>
      </w:r>
      <w:r>
        <w:rPr>
          <w:rFonts w:hint="default" w:ascii="Times New Roman" w:hAnsi="Times New Roman" w:cs="Times New Roman"/>
          <w:sz w:val="24"/>
          <w:szCs w:val="24"/>
        </w:rPr>
        <w:t>6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. IPTW-adjusted Cox regression analyses of lipid-lowering therapy and survival outcomes stratified by treatment group</w:t>
      </w:r>
    </w:p>
    <w:tbl>
      <w:tblPr>
        <w:tblStyle w:val="5"/>
        <w:tblW w:w="8418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5"/>
        <w:gridCol w:w="1853"/>
        <w:gridCol w:w="2939"/>
        <w:gridCol w:w="1281"/>
      </w:tblGrid>
      <w:tr w14:paraId="7423EDA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tblHeader/>
          <w:jc w:val="center"/>
        </w:trPr>
        <w:tc>
          <w:tcPr>
            <w:tcW w:w="234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4071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Treatment group</w:t>
            </w:r>
          </w:p>
        </w:tc>
        <w:tc>
          <w:tcPr>
            <w:tcW w:w="185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893A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Outcome</w:t>
            </w:r>
          </w:p>
        </w:tc>
        <w:tc>
          <w:tcPr>
            <w:tcW w:w="293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E1CF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IPTW-adjusted HR</w:t>
            </w:r>
          </w:p>
          <w:p w14:paraId="686E5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(95% CI)</w:t>
            </w:r>
          </w:p>
        </w:tc>
        <w:tc>
          <w:tcPr>
            <w:tcW w:w="128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C481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P value</w:t>
            </w:r>
          </w:p>
        </w:tc>
      </w:tr>
      <w:tr w14:paraId="5233F4D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34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8098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Toripalimab + Axitinib</w:t>
            </w:r>
          </w:p>
        </w:tc>
        <w:tc>
          <w:tcPr>
            <w:tcW w:w="1853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16B3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IRC-assessed PFS</w:t>
            </w:r>
          </w:p>
        </w:tc>
        <w:tc>
          <w:tcPr>
            <w:tcW w:w="2939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49F3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0.62 (0.38–1.04)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041A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0.068</w:t>
            </w:r>
          </w:p>
        </w:tc>
      </w:tr>
      <w:tr w14:paraId="210810A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5178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Toripalimab + Axitinib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5794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Overall survival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6B54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0.48 (0.26–0.88)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079A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0.018</w:t>
            </w:r>
          </w:p>
        </w:tc>
      </w:tr>
      <w:tr w14:paraId="1D5DE03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6FB8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Sunitinib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99DF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IRC-assessed PFS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C411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0.91 (0.61–1.36)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2BF9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0.641</w:t>
            </w:r>
          </w:p>
        </w:tc>
      </w:tr>
      <w:tr w14:paraId="36A7E26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2345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0B01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Sunitinib</w:t>
            </w:r>
          </w:p>
        </w:tc>
        <w:tc>
          <w:tcPr>
            <w:tcW w:w="1853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87BF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Overall survival</w:t>
            </w:r>
          </w:p>
        </w:tc>
        <w:tc>
          <w:tcPr>
            <w:tcW w:w="2939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5375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0.72 (0.42–1.25)</w:t>
            </w:r>
          </w:p>
        </w:tc>
        <w:tc>
          <w:tcPr>
            <w:tcW w:w="1281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C1F3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0.246</w:t>
            </w:r>
          </w:p>
        </w:tc>
      </w:tr>
    </w:tbl>
    <w:p w14:paraId="7AA7BA6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/>
        <w:textAlignment w:val="auto"/>
        <w:rPr>
          <w:rStyle w:val="7"/>
          <w:rFonts w:hint="default" w:ascii="Times New Roman" w:hAnsi="Times New Roman" w:eastAsia="宋体" w:cs="Times New Roman"/>
          <w:b w:val="0"/>
          <w:bCs w:val="0"/>
          <w:sz w:val="20"/>
          <w:szCs w:val="20"/>
        </w:rPr>
      </w:pPr>
      <w:r>
        <w:rPr>
          <w:rStyle w:val="7"/>
          <w:rFonts w:hint="default" w:ascii="Times New Roman" w:hAnsi="Times New Roman" w:eastAsia="宋体" w:cs="Times New Roman"/>
          <w:b w:val="0"/>
          <w:bCs w:val="0"/>
          <w:sz w:val="20"/>
          <w:szCs w:val="20"/>
        </w:rPr>
        <w:t>Table note:</w:t>
      </w:r>
    </w:p>
    <w:p w14:paraId="5006189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/>
        <w:textAlignment w:val="auto"/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Hazard ratios (HRs) and 95% confidence intervals (CIs) were estimated using IPTW-weighted Cox proportional hazards models. IPTW was calculated based on baseline covariates to balance differences between patients with and without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lipid-lowering therapy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>.</w:t>
      </w:r>
    </w:p>
    <w:p w14:paraId="667D10F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/>
        <w:textAlignment w:val="auto"/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>Abbreviations: CI, confidence interval; HR, hazard ratio; IRC, independent review committee; OS, overall survival; PFS, progression-free survival.</w:t>
      </w:r>
    </w:p>
    <w:p w14:paraId="68C092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4EA300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/>
        <w:textAlignment w:val="auto"/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Table 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7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</w:rPr>
        <w:t xml:space="preserve"> Logistic regression analysis of ORR and DCR according to </w:t>
      </w:r>
      <w:r>
        <w:rPr>
          <w:rFonts w:hint="eastAsia" w:ascii="Times New Roman" w:hAnsi="Times New Roman" w:cs="Times New Roman"/>
          <w:lang w:eastAsia="zh-CN"/>
        </w:rPr>
        <w:t>lipid-lowering therapy</w:t>
      </w:r>
    </w:p>
    <w:tbl>
      <w:tblPr>
        <w:tblStyle w:val="5"/>
        <w:tblW w:w="8358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1"/>
        <w:gridCol w:w="2514"/>
        <w:gridCol w:w="2974"/>
        <w:gridCol w:w="1469"/>
      </w:tblGrid>
      <w:tr w14:paraId="0B078F2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tblHeader/>
          <w:jc w:val="center"/>
        </w:trPr>
        <w:tc>
          <w:tcPr>
            <w:tcW w:w="140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727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Outcome</w:t>
            </w:r>
          </w:p>
        </w:tc>
        <w:tc>
          <w:tcPr>
            <w:tcW w:w="251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F0C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Group</w:t>
            </w:r>
          </w:p>
        </w:tc>
        <w:tc>
          <w:tcPr>
            <w:tcW w:w="297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9D9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OR (95% CI)</w:t>
            </w:r>
          </w:p>
        </w:tc>
        <w:tc>
          <w:tcPr>
            <w:tcW w:w="146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5BC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P value</w:t>
            </w:r>
          </w:p>
        </w:tc>
      </w:tr>
      <w:tr w14:paraId="7746BA1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tblHeader/>
          <w:jc w:val="center"/>
        </w:trPr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C3B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ORR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121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T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oripalimab plus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xitinib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286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1.273 (0.671–2.417)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246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0.460</w:t>
            </w:r>
          </w:p>
        </w:tc>
      </w:tr>
      <w:tr w14:paraId="5C29C7A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tblHeader/>
          <w:jc w:val="center"/>
        </w:trPr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A9C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DCR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71E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T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oripalimab plus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xitinib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BF1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1.447 (0.476–4.401)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442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0.515</w:t>
            </w:r>
          </w:p>
        </w:tc>
      </w:tr>
      <w:tr w14:paraId="2ABEA20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tblHeader/>
          <w:jc w:val="center"/>
        </w:trPr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C1B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ORR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151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unitinib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BBF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0.976 (0.478–1.991)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DBB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0.947</w:t>
            </w:r>
          </w:p>
        </w:tc>
      </w:tr>
      <w:tr w14:paraId="5997C0C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tblHeader/>
          <w:jc w:val="center"/>
        </w:trPr>
        <w:tc>
          <w:tcPr>
            <w:tcW w:w="1401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DDE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DCR</w:t>
            </w:r>
          </w:p>
        </w:tc>
        <w:tc>
          <w:tcPr>
            <w:tcW w:w="251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BFB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unitinib</w:t>
            </w:r>
          </w:p>
        </w:tc>
        <w:tc>
          <w:tcPr>
            <w:tcW w:w="297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05B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1.794 (0.625–5.150)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0D1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0.278</w:t>
            </w:r>
          </w:p>
        </w:tc>
      </w:tr>
    </w:tbl>
    <w:p w14:paraId="1269C5D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/>
        <w:textAlignment w:val="auto"/>
        <w:rPr>
          <w:rStyle w:val="7"/>
          <w:rFonts w:hint="default" w:ascii="Times New Roman" w:hAnsi="Times New Roman" w:eastAsia="宋体" w:cs="Times New Roman"/>
          <w:b w:val="0"/>
          <w:bCs w:val="0"/>
          <w:sz w:val="20"/>
          <w:szCs w:val="20"/>
        </w:rPr>
      </w:pPr>
      <w:r>
        <w:rPr>
          <w:rStyle w:val="7"/>
          <w:rFonts w:hint="default" w:ascii="Times New Roman" w:hAnsi="Times New Roman" w:eastAsia="宋体" w:cs="Times New Roman"/>
          <w:b w:val="0"/>
          <w:bCs w:val="0"/>
          <w:sz w:val="20"/>
          <w:szCs w:val="20"/>
        </w:rPr>
        <w:t>Table note:</w:t>
      </w:r>
    </w:p>
    <w:p w14:paraId="2FB7A793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Abbreviations: ORR, objective response rate; DCR, disease control rate; IRC, independent review committee; CI, confidence interval. Odds ratios were estimated using logistic regression models comparing lipid-lowering therapy use versus no use.</w:t>
      </w:r>
    </w:p>
    <w:p w14:paraId="19B6E0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0456DD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7ABD5CB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Table 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8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t>. Post hoc analyses according to lipid-lowering therapy class and lipid biomarkers</w:t>
      </w:r>
    </w:p>
    <w:tbl>
      <w:tblPr>
        <w:tblStyle w:val="5"/>
        <w:tblW w:w="8358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1"/>
        <w:gridCol w:w="2514"/>
        <w:gridCol w:w="2974"/>
        <w:gridCol w:w="1469"/>
      </w:tblGrid>
      <w:tr w14:paraId="3A0AB6F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tblHeader/>
          <w:jc w:val="center"/>
        </w:trPr>
        <w:tc>
          <w:tcPr>
            <w:tcW w:w="140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D4CF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Analysis</w:t>
            </w:r>
          </w:p>
        </w:tc>
        <w:tc>
          <w:tcPr>
            <w:tcW w:w="251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B4E0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Population</w:t>
            </w:r>
          </w:p>
        </w:tc>
        <w:tc>
          <w:tcPr>
            <w:tcW w:w="297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04C8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IRC-assessed PFS</w:t>
            </w:r>
          </w:p>
        </w:tc>
        <w:tc>
          <w:tcPr>
            <w:tcW w:w="146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CFCECE" w:themeFill="background2" w:themeFillShade="E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4972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OS</w:t>
            </w:r>
          </w:p>
        </w:tc>
      </w:tr>
      <w:tr w14:paraId="0B251A6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tblHeader/>
          <w:jc w:val="center"/>
        </w:trPr>
        <w:tc>
          <w:tcPr>
            <w:tcW w:w="140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17FA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LLT class</w:t>
            </w: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D38A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LLT users (n=113)</w:t>
            </w:r>
          </w:p>
        </w:tc>
        <w:tc>
          <w:tcPr>
            <w:tcW w:w="297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4A87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—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1D0E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—</w:t>
            </w:r>
          </w:p>
        </w:tc>
      </w:tr>
      <w:tr w14:paraId="5AEBCBA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tblHeader/>
          <w:jc w:val="center"/>
        </w:trPr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2D13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Statin vs non-statin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61A2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LLT users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8727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No stable difference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B6E1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No stable difference</w:t>
            </w:r>
          </w:p>
        </w:tc>
      </w:tr>
      <w:tr w14:paraId="65C26A9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tblHeader/>
          <w:jc w:val="center"/>
        </w:trPr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49FE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Baseline TC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CAF1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Overall and LLT users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8455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No consistent association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6B29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No consistent association</w:t>
            </w:r>
          </w:p>
        </w:tc>
      </w:tr>
      <w:tr w14:paraId="398C743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tblHeader/>
          <w:jc w:val="center"/>
        </w:trPr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0D9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TG ≥1.7 vs &lt;1.7 mmol/L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88C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Toripalimab + axitinib LLT users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B0A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HR 3.21 (1.29–8.03); P=0.009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A66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HR 1.90 (0.64–5.68); P=0.242</w:t>
            </w:r>
          </w:p>
        </w:tc>
      </w:tr>
      <w:tr w14:paraId="71447D4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tblHeader/>
          <w:jc w:val="center"/>
        </w:trPr>
        <w:tc>
          <w:tcPr>
            <w:tcW w:w="1401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C7D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TG ≥1.7 vs &lt;1.7 mmol/L</w:t>
            </w:r>
          </w:p>
        </w:tc>
        <w:tc>
          <w:tcPr>
            <w:tcW w:w="251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493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Sunitinib LLT users</w:t>
            </w:r>
          </w:p>
        </w:tc>
        <w:tc>
          <w:tcPr>
            <w:tcW w:w="297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CEB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HR 0.43 (0.20–0.94); P=0.030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B8F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HR 0.29 (0.10–0.85); P=0.016</w:t>
            </w:r>
          </w:p>
        </w:tc>
      </w:tr>
    </w:tbl>
    <w:p w14:paraId="1CAE53F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/>
        <w:textAlignment w:val="auto"/>
        <w:rPr>
          <w:rStyle w:val="7"/>
          <w:rFonts w:hint="default" w:ascii="Times New Roman" w:hAnsi="Times New Roman" w:eastAsia="宋体" w:cs="Times New Roman"/>
          <w:b w:val="0"/>
          <w:bCs w:val="0"/>
          <w:sz w:val="20"/>
          <w:szCs w:val="20"/>
        </w:rPr>
      </w:pPr>
      <w:r>
        <w:rPr>
          <w:rStyle w:val="7"/>
          <w:rFonts w:hint="default" w:ascii="Times New Roman" w:hAnsi="Times New Roman" w:eastAsia="宋体" w:cs="Times New Roman"/>
          <w:b w:val="0"/>
          <w:bCs w:val="0"/>
          <w:sz w:val="18"/>
          <w:szCs w:val="20"/>
        </w:rPr>
        <w:t>Table note:</w:t>
      </w:r>
      <w:r>
        <w:rPr>
          <w:rStyle w:val="7"/>
          <w:rFonts w:hint="default" w:ascii="Times New Roman" w:hAnsi="Times New Roman" w:eastAsia="宋体" w:cs="Times New Roman"/>
          <w:b w:val="0"/>
          <w:bCs w:val="0"/>
          <w:sz w:val="18"/>
          <w:szCs w:val="20"/>
        </w:rPr>
        <w:br w:type="textWrapping"/>
      </w:r>
      <w:r>
        <w:rPr>
          <w:rStyle w:val="7"/>
          <w:rFonts w:hint="default" w:ascii="Times New Roman" w:hAnsi="Times New Roman" w:eastAsia="宋体" w:cs="Times New Roman"/>
          <w:b w:val="0"/>
          <w:bCs w:val="0"/>
          <w:sz w:val="18"/>
          <w:szCs w:val="20"/>
        </w:rPr>
        <w:t>LLT, lipid-lowering therapy; TC, total cholesterol; TG, triglycerides; IRC, independent review committee; PFS, progression-free survival; OS, overall survival; HR, hazard ratio; CI, confidence interval. TG subgroup analyses compared TG &gt;=1.7 mmol/L with TG &lt;1.7 mmol/L among lipid-lowering therapy users within each treatment group. P values for TG analyses were calculated using the log-rank test. These analyses were post hoc and were not adjusted for multiple comparisons.</w:t>
      </w:r>
    </w:p>
    <w:p w14:paraId="3DF035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15E40F93">
      <w:pPr>
        <w:rPr>
          <w:rFonts w:ascii="宋体" w:hAnsi="宋体" w:eastAsia="宋体" w:cs="宋体"/>
          <w:sz w:val="24"/>
          <w:szCs w:val="24"/>
        </w:rPr>
      </w:pPr>
    </w:p>
    <w:p w14:paraId="246AF42A">
      <w:pPr>
        <w:rPr>
          <w:rFonts w:hint="default" w:ascii="宋体" w:hAnsi="宋体" w:eastAsia="宋体" w:cs="宋体"/>
          <w:sz w:val="24"/>
          <w:szCs w:val="24"/>
        </w:rPr>
      </w:pPr>
    </w:p>
    <w:p w14:paraId="2AF1A297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Multivariable Cox regression analysis of survival outcomes (Model 2) </w:t>
      </w:r>
    </w:p>
    <w:p w14:paraId="71B99C97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5" name="图片 5" descr="8a4a58a5-c498-484c-90f8-f90517bf56cf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a4a58a5-c498-484c-90f8-f90517bf56cf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7D088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Forest plots of multivariable Cox regression analyses for progression-free survival (PFS) and overall survival (OS) (Model 2, excluding BMI). Hazard ratios (HRs) are shown on a logarithmic scale, with the vertical line indicating HR = 1.0.</w:t>
      </w:r>
    </w:p>
    <w:p w14:paraId="5E5A1723">
      <w:pPr>
        <w:rPr>
          <w:rFonts w:hint="default" w:ascii="Times New Roman" w:hAnsi="Times New Roman" w:cs="Times New Roman"/>
          <w:sz w:val="24"/>
          <w:szCs w:val="24"/>
        </w:rPr>
      </w:pPr>
    </w:p>
    <w:p w14:paraId="529B100D">
      <w:pPr>
        <w:rPr>
          <w:rFonts w:hint="default" w:ascii="Times New Roman" w:hAnsi="Times New Roman" w:eastAsia="宋体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rli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AA1D82"/>
    <w:rsid w:val="03800F0C"/>
    <w:rsid w:val="073A38EF"/>
    <w:rsid w:val="097713E9"/>
    <w:rsid w:val="0BAA1D82"/>
    <w:rsid w:val="0D4C612B"/>
    <w:rsid w:val="174A1095"/>
    <w:rsid w:val="1AD645EB"/>
    <w:rsid w:val="1B6F3A9A"/>
    <w:rsid w:val="1F596413"/>
    <w:rsid w:val="20BB1DEC"/>
    <w:rsid w:val="247A6666"/>
    <w:rsid w:val="28EE74A2"/>
    <w:rsid w:val="379C259E"/>
    <w:rsid w:val="41E96AD7"/>
    <w:rsid w:val="43566DE0"/>
    <w:rsid w:val="439F0C07"/>
    <w:rsid w:val="4A2B3DDB"/>
    <w:rsid w:val="4A3B6815"/>
    <w:rsid w:val="4D440331"/>
    <w:rsid w:val="54D747A4"/>
    <w:rsid w:val="573F63D7"/>
    <w:rsid w:val="594641C1"/>
    <w:rsid w:val="5A1924BD"/>
    <w:rsid w:val="6E627BE8"/>
    <w:rsid w:val="71791CB1"/>
    <w:rsid w:val="7A1A08CD"/>
    <w:rsid w:val="7C66113B"/>
    <w:rsid w:val="7E7A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1083</Words>
  <Characters>6586</Characters>
  <Lines>0</Lines>
  <Paragraphs>0</Paragraphs>
  <TotalTime>1</TotalTime>
  <ScaleCrop>false</ScaleCrop>
  <LinksUpToDate>false</LinksUpToDate>
  <CharactersWithSpaces>7412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2026-05-19T07:03:00Z</dcterms:created>
  <dc:creator>宅宅</dc:creator>
  <cp:lastModifiedBy>宅宅</cp:lastModifiedBy>
  <dcterms:modified xsi:type="dcterms:W3CDTF">2026-08-26T06:04:43Z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908C86691C3246ABA61BB8214A43E04A_11</vt:lpwstr>
  </property>
  <property fmtid="{D5CDD505-2E9C-101B-9397-08002B2CF9AE}" pid="4" name="KSOTemplateDocerSaveRecord">
    <vt:lpwstr>eyJoZGlkIjoiM2MxOWZmMjllNWExMWM2NDhkNTUzNmQwNTM1NjAwMzYiLCJ1c2VySWQiOiIxODU2NjI3NyJ9</vt:lpwstr>
  </property>
</Properties>
</file>