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E64FD">
      <w:pPr>
        <w:spacing w:before="0" w:after="40" w:line="240" w:lineRule="auto"/>
        <w:jc w:val="center"/>
        <w:rPr>
          <w:rFonts w:ascii="Times New Roman" w:hAnsi="Times New Roman" w:eastAsia="Times New Roman" w:cs="Times New Roman"/>
          <w:b/>
          <w:sz w:val="18"/>
        </w:rPr>
      </w:pPr>
      <w:r>
        <w:rPr>
          <w:rFonts w:ascii="Times New Roman" w:hAnsi="Times New Roman" w:eastAsia="Times New Roman" w:cs="Times New Roman"/>
          <w:b/>
          <w:sz w:val="18"/>
        </w:rPr>
        <w:t>Supplementary Material 1</w:t>
      </w:r>
      <w:bookmarkStart w:id="0" w:name="_GoBack"/>
      <w:bookmarkEnd w:id="0"/>
    </w:p>
    <w:p w14:paraId="6B9504F1">
      <w:pPr>
        <w:spacing w:before="0" w:after="40" w:line="240" w:lineRule="auto"/>
        <w:jc w:val="center"/>
      </w:pPr>
      <w:r>
        <w:rPr>
          <w:rFonts w:ascii="Times New Roman" w:hAnsi="Times New Roman" w:eastAsia="Times New Roman" w:cs="Times New Roman"/>
          <w:b/>
          <w:sz w:val="18"/>
        </w:rPr>
        <w:t>Supplementary figures and tables</w:t>
      </w:r>
    </w:p>
    <w:p w14:paraId="4EEB72E2">
      <w:pPr>
        <w:spacing w:before="0" w:after="40" w:line="240" w:lineRule="auto"/>
        <w:jc w:val="center"/>
      </w:pPr>
      <w:r>
        <w:rPr>
          <w:rFonts w:ascii="Times New Roman" w:hAnsi="Times New Roman" w:eastAsia="Times New Roman" w:cs="Times New Roman"/>
          <w:i/>
          <w:sz w:val="18"/>
        </w:rPr>
        <w:t>Joint</w:t>
      </w:r>
      <w:r>
        <w:rPr>
          <w:rFonts w:ascii="Times New Roman" w:hAnsi="Times New Roman" w:eastAsia="Times New Roman" w:cs="Times New Roman"/>
          <w:i/>
          <w:sz w:val="18"/>
        </w:rPr>
        <w:t xml:space="preserve"> Associations of the Atherogenic Index of Plasma and Estimated Glucose Disposal Rate with Incident Cardio-Renal-Metabolic Multimorbidity: A Prospective Cohort Study in UK Biobank and CHARLS</w:t>
      </w:r>
    </w:p>
    <w:p w14:paraId="39A32025">
      <w:pPr>
        <w:spacing w:before="80" w:after="80"/>
      </w:pPr>
      <w:r>
        <w:rPr>
          <w:rFonts w:ascii="Times New Roman" w:hAnsi="Times New Roman" w:eastAsia="Times New Roman" w:cs="Times New Roman"/>
          <w:b/>
          <w:sz w:val="24"/>
        </w:rPr>
        <w:t>Contents</w:t>
      </w:r>
    </w:p>
    <w:p w14:paraId="4214EF54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Supplementary Figure S1. Participant selection in UK Biobank and CHARLS</w:t>
      </w:r>
    </w:p>
    <w:p w14:paraId="5F5CA870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Supplementary Figure S2. CRMM cumulative incidence by joint AIP-eGDR phenotype in UK Biobank and CHARLS</w:t>
      </w:r>
    </w:p>
    <w:p w14:paraId="7F87175C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Supplementary Figure S3. Joint AIP-eGDR phenotypes and incident CRMM across UK Biobank subgroups</w:t>
      </w:r>
    </w:p>
    <w:p w14:paraId="73D32AA2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Supplementary Figure S4. Joint AIP-eGDR phenotypes and incident CRMM across CHARLS subgroups</w:t>
      </w:r>
    </w:p>
    <w:p w14:paraId="2A11D0F1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S1. Hypertension and outcome ascertainment in CHARLS</w:t>
      </w:r>
    </w:p>
    <w:p w14:paraId="1D360EDC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S2. Baseline characteristics by joint AIP-eGDR phenotype in UK Biobank</w:t>
      </w:r>
    </w:p>
    <w:p w14:paraId="0CAE0E4A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S3. Baseline characteristics by joint AIP-eGDR phenotype in CHARLS</w:t>
      </w:r>
    </w:p>
    <w:p w14:paraId="62919164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S4. Joint AIP-eGDR phenotypes and incident CRMM in both cohorts</w:t>
      </w:r>
    </w:p>
    <w:p w14:paraId="5537DF93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S5. Piecewise associations of AIP and eGDR with incident CRMM</w:t>
      </w:r>
    </w:p>
    <w:p w14:paraId="0A14E478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S6. Exploratory discrimination and reclassification metrics in CHARLS</w:t>
      </w:r>
    </w:p>
    <w:p w14:paraId="206F253C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S7. Additive interaction between AIP and eGDR in UK Biobank</w:t>
      </w:r>
    </w:p>
    <w:p w14:paraId="4B580668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S8. Additive interaction between AIP and eGDR in CHARLS</w:t>
      </w:r>
    </w:p>
    <w:p w14:paraId="362FC6A9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S9. Coarse transition-specific associations in UK Biobank</w:t>
      </w:r>
    </w:p>
    <w:p w14:paraId="7B427471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S10. Detailed transition-specific associations in UK Biobank</w:t>
      </w:r>
    </w:p>
    <w:p w14:paraId="2273CA8F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S11. Coarse CRMM transition routes in UK Biobank</w:t>
      </w:r>
    </w:p>
    <w:p w14:paraId="5DBC86BE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S12. Detailed CRMM transition routes in UK Biobank</w:t>
      </w:r>
    </w:p>
    <w:p w14:paraId="0FC17F78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S13. Sensitivity analysis additionally adjusted for family history in UK Biobank</w:t>
      </w:r>
    </w:p>
    <w:p w14:paraId="65113E11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S14. Sensitivity analysis additionally adjusted for glucose-lowering and antihypertensive medications</w:t>
      </w:r>
    </w:p>
    <w:p w14:paraId="1B2E56E4">
      <w:pPr>
        <w:spacing w:before="0" w:after="40" w:line="240" w:lineRule="auto"/>
        <w:ind w:left="173" w:hanging="173"/>
      </w:pPr>
      <w:r>
        <w:rPr>
          <w:rFonts w:ascii="Times New Roman" w:hAnsi="Times New Roman" w:eastAsia="Times New Roman" w:cs="Times New Roman"/>
          <w:sz w:val="19"/>
        </w:rPr>
        <w:t>Table S15. Fine-Gray competing-risk analysis for incident CRMM in UK Biobank</w:t>
      </w:r>
    </w:p>
    <w:p w14:paraId="54EC5040">
      <w:pPr>
        <w:keepNext w:val="0"/>
        <w:pageBreakBefore w:val="0"/>
        <w:jc w:val="center"/>
      </w:pPr>
      <w:r>
        <w:drawing>
          <wp:inline distT="0" distB="0" distL="0" distR="0">
            <wp:extent cx="5761355" cy="3103245"/>
            <wp:effectExtent l="0" t="0" r="0" b="1905"/>
            <wp:docPr id="3" name="Supplementary Figure S1" descr="Supplementary Figure S1: Participant selection in UK Biobank and CHARLS" title="Supplementary Figure S1: Participant selection in UK Biobank and CHAR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S1" descr="Supplementary Figure S1: Participant selection in UK Biobank and CHARLS" title="Supplementary Figure S1: Participant selection in UK Biobank and CHARL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10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DD4B5B">
      <w:pPr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Supplementary Figure S1. </w:t>
      </w:r>
      <w:r>
        <w:rPr>
          <w:rFonts w:ascii="Times New Roman" w:hAnsi="Times New Roman" w:eastAsia="Times New Roman" w:cs="Times New Roman"/>
          <w:sz w:val="20"/>
        </w:rPr>
        <w:t>Participant selection in UK Biobank and CHARLS.</w:t>
      </w:r>
    </w:p>
    <w:p w14:paraId="19A0C75D">
      <w:pPr>
        <w:spacing w:before="0" w:after="40" w:line="240" w:lineRule="auto"/>
        <w:rPr>
          <w:szCs w:val="24"/>
        </w:rPr>
      </w:pPr>
      <w:r>
        <w:rPr>
          <w:rFonts w:ascii="Times New Roman" w:hAnsi="Times New Roman" w:eastAsia="Times New Roman" w:cs="Times New Roman"/>
          <w:sz w:val="18"/>
          <w:szCs w:val="24"/>
        </w:rPr>
        <w:t>(A) UK Biobank participant selection; (B) CHARLS participant selection.</w:t>
      </w:r>
    </w:p>
    <w:p w14:paraId="480D0471">
      <w:pPr>
        <w:spacing w:before="20" w:after="20" w:line="240" w:lineRule="auto"/>
        <w:rPr>
          <w:szCs w:val="24"/>
        </w:rPr>
      </w:pPr>
      <w:r>
        <w:rPr>
          <w:rFonts w:ascii="Times New Roman" w:hAnsi="Times New Roman" w:eastAsia="Times New Roman" w:cs="Times New Roman"/>
          <w:sz w:val="17"/>
        </w:rPr>
        <w:t>Abbreviations: AIP, atherogenic index of plasma; CHARLS, China Health and Retirement Longitudinal Study; CRMM, cardio-renal-metabolic multimorbidity; eGDR, estimated glucose disposal rate; UKB, UK Biobank.</w:t>
      </w:r>
    </w:p>
    <w:p w14:paraId="26A6FC9B">
      <w:pPr>
        <w:keepNext w:val="0"/>
        <w:pageBreakBefore w:val="0"/>
        <w:jc w:val="center"/>
      </w:pPr>
      <w:r>
        <w:drawing>
          <wp:inline distT="0" distB="0" distL="0" distR="0">
            <wp:extent cx="5303520" cy="2686685"/>
            <wp:effectExtent l="0" t="0" r="0" b="0"/>
            <wp:docPr id="1" name="Supplementary Figure S2" descr="Supplementary Figure S2: CRMM cumulative incidence by joint AIP-eGDR phenotype in UK Biobank and CHARLS" title="Supplementary Figure S2: CRMM cumulative incidence by joint AIP-eGDR phenotype in UK Biobank and CHAR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S2" descr="Supplementary Figure S2: CRMM cumulative incidence by joint AIP-eGDR phenotype in UK Biobank and CHARLS" title="Supplementary Figure S2: CRMM cumulative incidence by joint AIP-eGDR phenotype in UK Biobank and CHARL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8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5967B">
      <w:pPr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Supplementary Figure S2. </w:t>
      </w:r>
      <w:r>
        <w:rPr>
          <w:rFonts w:ascii="Times New Roman" w:hAnsi="Times New Roman" w:eastAsia="Times New Roman" w:cs="Times New Roman"/>
          <w:sz w:val="20"/>
        </w:rPr>
        <w:t>CRMM cumulative incidence by joint AIP-eGDR phenotype in UK Biobank and CHARLS.</w:t>
      </w:r>
    </w:p>
    <w:p w14:paraId="75DAD428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CHARLS, China Health and Retirement Longitudinal Study; CRMM, cardio-renal-metabolic multimorbidity; eGDR, estimated glucose disposal rate; G1, low AIP/high eGDR (reference); G2, high AIP/high eGDR; G3, low AIP/low eGDR; G4, high AIP/low eGDR; UKB, UK Biobank.</w:t>
      </w:r>
    </w:p>
    <w:p w14:paraId="593E1496">
      <w:pPr>
        <w:keepNext w:val="0"/>
        <w:pageBreakBefore w:val="0"/>
        <w:jc w:val="center"/>
      </w:pPr>
      <w:r>
        <w:drawing>
          <wp:inline distT="0" distB="0" distL="0" distR="0">
            <wp:extent cx="4754880" cy="4114800"/>
            <wp:effectExtent l="0" t="0" r="0" b="0"/>
            <wp:docPr id="11" name="Supplementary Figure S3" descr="Supplementary Figure S3: Joint AIP-eGDR phenotypes and incident CRMM across UK Biobank subgroups" title="Supplementary Figure S3: Joint AIP-eGDR phenotypes and incident CRMM across UK Biobank subgrou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 Figure S3" descr="Supplementary Figure S3: Joint AIP-eGDR phenotypes and incident CRMM across UK Biobank subgroups" title="Supplementary Figure S3: Joint AIP-eGDR phenotypes and incident CRMM across UK Biobank subgroup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411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AE142">
      <w:pPr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Supplementary Figure S3. </w:t>
      </w:r>
      <w:r>
        <w:rPr>
          <w:rFonts w:ascii="Times New Roman" w:hAnsi="Times New Roman" w:eastAsia="Times New Roman" w:cs="Times New Roman"/>
          <w:sz w:val="20"/>
        </w:rPr>
        <w:t>Joint AIP-eGDR phenotypes and incident CRMM across UK Biobank subgroups. Hazard ratios are presented with G1 (low AIP, high eGDR) as the reference group. G2, high AIP/high eGDR; G3, low AIP/low eGDR; G4, high AIP/low eGDR</w:t>
      </w:r>
    </w:p>
    <w:p w14:paraId="5D009770">
      <w:pPr>
        <w:spacing w:before="20" w:after="20" w:line="240" w:lineRule="auto"/>
        <w:rPr>
          <w:szCs w:val="24"/>
        </w:rPr>
      </w:pPr>
      <w:r>
        <w:rPr>
          <w:rFonts w:ascii="Times New Roman" w:hAnsi="Times New Roman" w:eastAsia="Times New Roman" w:cs="Times New Roman"/>
          <w:sz w:val="17"/>
          <w:szCs w:val="24"/>
        </w:rPr>
        <w:t>Abbreviations: AIP, atherogenic index of plasma; CI, confidence interval; CRMM, cardio-renal-metabolic multimorbidity; eGDR, estimated glucose disposal rate; HR, hazard ratio; UKB, UK Biobank.</w:t>
      </w:r>
    </w:p>
    <w:p w14:paraId="05378223">
      <w:pPr>
        <w:keepNext w:val="0"/>
        <w:pageBreakBefore w:val="0"/>
        <w:jc w:val="center"/>
      </w:pPr>
      <w:r>
        <w:drawing>
          <wp:inline distT="0" distB="0" distL="0" distR="0">
            <wp:extent cx="5303520" cy="4603750"/>
            <wp:effectExtent l="0" t="0" r="0" b="0"/>
            <wp:docPr id="2" name="Supplementary Figure S4" descr="Supplementary Figure S4: Joint AIP-eGDR phenotypes and incident CRMM across CHARLS subgroups" title="Supplementary Figure S4: Joint AIP-eGDR phenotypes and incident CRMM across CHARLS subgrou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S4" descr="Supplementary Figure S4: Joint AIP-eGDR phenotypes and incident CRMM across CHARLS subgroups" title="Supplementary Figure S4: Joint AIP-eGDR phenotypes and incident CRMM across CHARLS subgroup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60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81AE2">
      <w:pPr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Supplementary Figure S4. </w:t>
      </w:r>
      <w:r>
        <w:rPr>
          <w:rFonts w:ascii="Times New Roman" w:hAnsi="Times New Roman" w:eastAsia="Times New Roman" w:cs="Times New Roman"/>
          <w:sz w:val="20"/>
        </w:rPr>
        <w:t>Joint AIP-eGDR phenotypes and incident CRMM across CHARLS subgroups.</w:t>
      </w:r>
    </w:p>
    <w:p w14:paraId="297C2359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CHARLS, China Health and Retirement Longitudinal Study; CI, confidence interval; CRMM, cardio-renal-metabolic multimorbidity; eGDR, estimated glucose disposal rate; HR, hazard ratio. Hukou denotes household registration (rural vs urban) in Harmonized CHARLS variable r1rural2.</w:t>
      </w:r>
    </w:p>
    <w:p w14:paraId="2AE301B8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S1. </w:t>
      </w:r>
      <w:r>
        <w:rPr>
          <w:rFonts w:ascii="Times New Roman" w:hAnsi="Times New Roman" w:eastAsia="Times New Roman" w:cs="Times New Roman"/>
          <w:sz w:val="20"/>
        </w:rPr>
        <w:t>Hypertension and outcome ascertainment in CHARLS.</w:t>
      </w:r>
    </w:p>
    <w:tbl>
      <w:tblPr>
        <w:tblStyle w:val="33"/>
        <w:tblW w:w="10800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8"/>
        <w:gridCol w:w="6982"/>
      </w:tblGrid>
      <w:tr w14:paraId="43C2C55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818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C5C3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Condition</w:t>
            </w:r>
          </w:p>
        </w:tc>
        <w:tc>
          <w:tcPr>
            <w:tcW w:w="6982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E87A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Definition and ascertainment</w:t>
            </w:r>
          </w:p>
        </w:tc>
      </w:tr>
      <w:tr w14:paraId="08EB529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18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19E35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Hypertension</w:t>
            </w:r>
          </w:p>
        </w:tc>
        <w:tc>
          <w:tcPr>
            <w:tcW w:w="6982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334B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Self-reported physician-diagnosed hypertension, antihypertensive medication use, systolic blood pressure ≥ 140 mmHg, or diastolic blood pressure ≥ 90 mmHg.</w:t>
            </w:r>
          </w:p>
        </w:tc>
      </w:tr>
      <w:tr w14:paraId="471F481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18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CB3DE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Cardiovascular disease (CVD)</w:t>
            </w:r>
          </w:p>
        </w:tc>
        <w:tc>
          <w:tcPr>
            <w:tcW w:w="6982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1357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Self-reported physician-diagnosed heart attack or stroke, ascertained at each follow-up wave through the standard CHARLS health questionnaire.</w:t>
            </w:r>
          </w:p>
        </w:tc>
      </w:tr>
      <w:tr w14:paraId="598C88B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18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1CEC2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Type 2 diabetes</w:t>
            </w:r>
          </w:p>
        </w:tc>
        <w:tc>
          <w:tcPr>
            <w:tcW w:w="6982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9B5E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Self-reported physician diagnosis, fasting glucose ≥ 7.0 mmol/L, or HbA1c ≥ 6.5% at follow-up.</w:t>
            </w:r>
          </w:p>
        </w:tc>
      </w:tr>
      <w:tr w14:paraId="7CCD0B1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818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64A06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Chronic kidney disease (CKD)</w:t>
            </w:r>
          </w:p>
        </w:tc>
        <w:tc>
          <w:tcPr>
            <w:tcW w:w="6982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6B63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Self-reported physician-diagnosed kidney disease or eGFR &lt;60 mL/min/1.73 m² derived from serum creatinine at follow-up.</w:t>
            </w:r>
          </w:p>
        </w:tc>
      </w:tr>
    </w:tbl>
    <w:p w14:paraId="612F38D6">
      <w:pPr>
        <w:spacing w:before="20" w:after="20" w:line="240" w:lineRule="auto"/>
      </w:pPr>
      <w:r>
        <w:rPr>
          <w:rFonts w:ascii="Times New Roman" w:hAnsi="Times New Roman" w:eastAsia="Times New Roman" w:cs="Times New Roman"/>
          <w:b/>
          <w:sz w:val="17"/>
        </w:rPr>
        <w:t xml:space="preserve">Note. </w:t>
      </w:r>
      <w:r>
        <w:rPr>
          <w:rFonts w:ascii="Times New Roman" w:hAnsi="Times New Roman" w:eastAsia="Times New Roman" w:cs="Times New Roman"/>
          <w:b w:val="0"/>
          <w:sz w:val="17"/>
        </w:rPr>
        <w:t>In CHARLS, the 2011 wave was used as baseline and participants were followed through 2020. Incident CRMM was defined as the first follow-up time at which at least two of CVD, T2D, and CKD were present; participants with prevalent CRMM at baseline were excluded, whereas participants with zero or one component disease remained eligible. The eGFR-based CKD component is an operational study definition; a single eGFR &lt;60 mL/min/1.73 m² does not by itself establish persistence for at least 3 months. Hypertension and CVD definitions for UK Biobank are described in the main Methods.</w:t>
      </w:r>
    </w:p>
    <w:p w14:paraId="6BA44EAB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CHARLS, China Health and Retirement Longitudinal Study; CKD, chronic kidney disease; CRMM, cardio-renal-metabolic multimorbidity; CVD, cardiovascular disease; eGFR, estimated glomerular filtration rate; HbA1c, glycated hemoglobin; ICD-10, International Classification of Diseases, 10th Revision; T2D, type 2 diabetes.</w:t>
      </w:r>
    </w:p>
    <w:p w14:paraId="05FBF4A4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S2. </w:t>
      </w:r>
      <w:r>
        <w:rPr>
          <w:rFonts w:ascii="Times New Roman" w:hAnsi="Times New Roman" w:eastAsia="Times New Roman" w:cs="Times New Roman"/>
          <w:sz w:val="20"/>
        </w:rPr>
        <w:t>Baseline characteristics by joint AIP-eGDR phenotype in UK Biobank.</w:t>
      </w:r>
    </w:p>
    <w:tbl>
      <w:tblPr>
        <w:tblStyle w:val="32"/>
        <w:tblW w:w="10801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1"/>
        <w:gridCol w:w="1331"/>
        <w:gridCol w:w="1331"/>
        <w:gridCol w:w="1331"/>
        <w:gridCol w:w="1331"/>
        <w:gridCol w:w="1331"/>
        <w:gridCol w:w="1255"/>
      </w:tblGrid>
      <w:tr w14:paraId="598978D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89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DE4DA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Characteristic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966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Overall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EFC9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G1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50C95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G2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CE64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G3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F14D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G4</w:t>
            </w:r>
          </w:p>
        </w:tc>
        <w:tc>
          <w:tcPr>
            <w:tcW w:w="1255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473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4"/>
                <w:szCs w:val="20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z w:val="14"/>
                <w:szCs w:val="20"/>
              </w:rPr>
              <w:t>-value</w:t>
            </w:r>
          </w:p>
        </w:tc>
      </w:tr>
      <w:tr w14:paraId="65D7BE0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EE35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Age, years, mean (SD)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82E9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56.48 (8.09)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546C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53.94 (8.07)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CFA6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54.87 (8.13)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3A0C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59.00 (7.32)</w:t>
            </w:r>
          </w:p>
        </w:tc>
        <w:tc>
          <w:tcPr>
            <w:tcW w:w="1331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1062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58.41 (7.54)</w:t>
            </w:r>
          </w:p>
        </w:tc>
        <w:tc>
          <w:tcPr>
            <w:tcW w:w="1255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B020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5E215D2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A1C5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Townsend deprivation index, mean (SD)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919C0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-1.36 (3.05)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0594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-1.47 (2.99)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D2DD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-1.25 (3.13)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ED7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-1.45 (3.01)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73CA0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-1.27 (3.09)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DFA7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0FE1429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FFA5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Sleep duration, hours, mean (SD)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8B03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7.15 (1.10)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20F34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7.14 (1.02)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6D66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7.15 (1.11)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C06C0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7.15 (1.09)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0FCC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7.17 (1.17)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1F03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6524D2A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C445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Waist circumference, cm, mean (SD)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79974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90.16 (13.35)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51A84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80.71 (10.05)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4D52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89.90 (9.15)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2542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90.15 (12.30)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DC7D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99.77 (12.40)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BFAB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261A4A2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B24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HbA1c, %, mean (SD)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03A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5.44 (0.58)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5CAC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5.28 (0.36)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5947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5.37 (0.38)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09C3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5.45 (0.57)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B040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5.63 (0.79)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AB85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2E13552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99BD5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LDL-C, mmol/L, mean (SD)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62D0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3.57 (0.86)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F7FE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3.41 (0.77)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3ED7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3.79 (0.85)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726C0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3.47 (0.85)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C4A7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3.66 (0.92)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76663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12BEA1D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B5C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CRP, mg/L, mean (SD)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8B2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2.58 (4.32)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4F39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1.83 (3.84)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6E6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2.61 (4.14)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2924B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2.61 (4.58)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747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3.30 (4.57)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262D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241DB4B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549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AIP score, mean (SD)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64582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0.03 (0.30)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3BCFE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-0.22 (0.16)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8852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0.25 (0.18)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C9F4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-0.18 (0.15)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A9D9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0.29 (0.19)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10FF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7C4E3D4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2AB72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eGDR, mg·kg⁻¹·min⁻¹, mean (SD)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5E23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8.44 (2.42)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4854A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10.87 (0.98)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92AD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10.09 (0.84)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1AC9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6.77 (1.13)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B8F9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6.01 (1.33)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4E27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2CB5581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92B1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Sex,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A01A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72DBF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0A87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0A33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E581B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1C6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46172E6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40127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Male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B4C75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181,310 (46.0)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4E58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28,570 (24.0)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9FB2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38,352 (48.9)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88B3C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35,299 (45.0)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AE57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79,089 (66.6)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B57E5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006EBFB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5D06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Female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D71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213,173 (54.0)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6D80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90,241 (76.0)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E867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40,079 (51.1)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6E3AF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43,131 (55.0)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7C7A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39,722 (33.4)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01E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6F6AAE9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BE5A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Race,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89DEE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E17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EE12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67FB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350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BA336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6E72032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B982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White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9D004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373,998 (94.8)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41C0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112,975 (95.1)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7D60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73,881 (94.2)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F417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73,978 (94.3)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35C3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113,164 (95.2)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8946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11F60E9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EEE2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Others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7251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20,485 (5.2)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ACD7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5,836 (4.9)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D88C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4,550 (5.8)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9335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4,452 (5.7)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74E3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5,647 (4.8)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457D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7E9C1B9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9A50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Educational level,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605BD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45D8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95B0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A88C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29DE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4044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4C9ED3F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DBC6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College or above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590C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128,720 (32.6)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2E87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47,068 (39.6)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E145D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26,492 (33.8)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5AD4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23,577 (30.1)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D930E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31,583 (26.6)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8D9B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404A2FE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436E2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High school / equivalent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A5E4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199,923 (50.7)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F2E5E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58,743 (49.4)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DBB1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40,224 (51.3)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2EC6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39,666 (50.6)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88A6D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61,290 (51.6)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9A1C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3580359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91B6B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Below high school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087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65,840 (16.7)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8553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13,000 (10.9)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4EFF8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11,715 (14.9)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52E0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15,187 (19.4)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2030D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25,938 (21.8)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1C94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3EF02F7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93E6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Smoking status,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025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8BBF4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A2F5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AD8B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D126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CD4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03B7EA8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F58EA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Current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1AB2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41,617 (10.5)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84F1E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10,645 (9.0)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432D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11,408 (14.5)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2386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6,274 (8.0)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F89F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13,290 (11.2)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045E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6BFB133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ABFC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Previous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FED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136,667 (34.6)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4AF6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36,438 (30.7)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E021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24,353 (31.1)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7825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28,947 (36.9)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5538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46,929 (39.5)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726E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36E3C74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1CF9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Never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A239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216,199 (54.8)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72DF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71,728 (60.4)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7E37B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42,670 (54.4)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056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43,209 (55.1)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C3B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58,592 (49.3)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014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63DFC88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5FA0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Alcohol intake,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9520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9F9C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D5AA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977C0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19D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783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393A8BE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1DF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Current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67F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364,085 (92.3)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CEA1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110,964 (93.4)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237A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71,085 (90.6)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921CE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73,267 (93.4)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105F0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108,769 (91.5)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BECDF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387FBED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15EC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Previous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1E73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13,684 (3.5)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4FDA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3,476 (2.9)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71B1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3,294 (4.2)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B78F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2,171 (2.8)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0A1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4,743 (4.0)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24EC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2695FF7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C9AA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Never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E909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16,714 (4.2)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B9504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4,371 (3.7)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DCF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4,052 (5.2)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F2C92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2,992 (3.8)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BF39E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5,299 (4.5)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C0FD6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07785E2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752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Family history of CMD,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EE4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0F0E6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BD4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C3C86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F060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B94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0EABF9C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FC13F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Yes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9EE4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304,508 (83.0)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AECA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88,688 (79.3)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9881A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58,714 (80.7)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7312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62,606 (85.9)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8906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94,500 (86.3)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5BC9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6C9A767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9977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No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88A0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62,532 (17.0)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F432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23,092 (20.7)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38E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14,083 (19.3)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DD11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10,302 (14.1)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DFCEF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15,055 (13.7)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8085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5EF761C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BFC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Lipid-lowering medication,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5E7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323A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F00F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8A7C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BDB69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B686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084E683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6EF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Yes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5F9E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39,468 (10.0)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543A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2,190 (1.8)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5C2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3,570 (4.6)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B829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9,570 (12.2)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15F2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24,138 (20.3)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0E7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5FE701F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00B3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No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F479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355,015 (90.0)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E1DD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116,621 (98.2)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F682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74,861 (95.4)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0754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68,860 (87.8)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830EC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94,673 (79.7)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F5E8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6C49632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C429E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Hypertension,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D591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39CA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226B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73AD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9C54E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649F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4F4393D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66E7A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Yes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58DA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186,607 (47.3)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6B54B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4,029 (3.4)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42AD9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411 (0.5)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D5F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75,214 (95.9)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11F3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106,953 (90.0)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C39B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0E1A349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8ABC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No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6E5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207,876 (52.7)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26CE1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114,782 (96.6)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249A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78,020 (99.5)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53DFF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3,216 (4.1)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71A7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11,858 (10.0)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1358A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6059975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5F2F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Incident CRMM during follow-up, n (%)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4A3F0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3F17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734F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CC07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4BDC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C61D5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4"/>
                <w:szCs w:val="18"/>
              </w:rPr>
              <w:t>&lt;0.001</w:t>
            </w:r>
          </w:p>
        </w:tc>
      </w:tr>
      <w:tr w14:paraId="3065C17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80F59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No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FE43B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371,194 (94.1)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CD3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117,032 (98.5)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1862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75,592 (96.4)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7FC2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73,785 (94.1)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4686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104,785 (88.2)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FAB1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14:paraId="3075A8A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91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BCCC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left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 xml:space="preserve">  Yes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0B8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23,289 (5.9)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FA9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1,779 (1.5)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B1EE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2,839 (3.6)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9243D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4,645 (5.9)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45A1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4"/>
                <w:szCs w:val="18"/>
              </w:rPr>
              <w:t>14,026 (11.8)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615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100" w:right="100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2CD34025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Note: Values are presented as mean (SD) or n (%). P values were derived from Kruskal-Wallis tests for continuous variables and chi-square tests for categorical variables. Race was self-reported and categorized as White or Other; the Other category included Asian, Black, Mixed, Chinese, and other reported ethnic groups. Family-history data were available for 367,040 participants and were used in a sensitivity analysis rather than the primary fully adjusted model.</w:t>
      </w:r>
    </w:p>
    <w:p w14:paraId="3F50A5E1">
      <w:pPr>
        <w:spacing w:before="0" w:after="40" w:line="240" w:lineRule="auto"/>
      </w:pPr>
      <w:r>
        <w:rPr>
          <w:rFonts w:ascii="Times New Roman" w:hAnsi="Times New Roman" w:eastAsia="Times New Roman" w:cs="Times New Roman"/>
          <w:sz w:val="18"/>
        </w:rPr>
        <w:t>G1, low AIP/high eGDR (reference); G2, high AIP/high eGDR; G3, low AIP/low eGDR; G4, high AIP/low eGDR.</w:t>
      </w:r>
    </w:p>
    <w:p w14:paraId="3592D5D5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S3. </w:t>
      </w:r>
      <w:r>
        <w:rPr>
          <w:rFonts w:ascii="Times New Roman" w:hAnsi="Times New Roman" w:eastAsia="Times New Roman" w:cs="Times New Roman"/>
          <w:sz w:val="20"/>
        </w:rPr>
        <w:t>Baseline characteristics by joint AIP-eGDR phenotype in CHARLS.</w:t>
      </w:r>
    </w:p>
    <w:tbl>
      <w:tblPr>
        <w:tblStyle w:val="33"/>
        <w:tblW w:w="10800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440"/>
        <w:gridCol w:w="1440"/>
        <w:gridCol w:w="1440"/>
        <w:gridCol w:w="1440"/>
        <w:gridCol w:w="1440"/>
        <w:gridCol w:w="1255"/>
      </w:tblGrid>
      <w:tr w14:paraId="6D0D925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2213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Characteristic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49C4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Overall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C0D40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G1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70776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G2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A132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G3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0A57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G4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ACC5C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4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z w:val="14"/>
              </w:rPr>
              <w:t>-value</w:t>
            </w:r>
          </w:p>
        </w:tc>
      </w:tr>
      <w:tr w14:paraId="5A0CDEA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CB35CA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Age, years, mean (SD)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7F77A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58.94 (9.20)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10E0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57.74 (8.90)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E8110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56.96 (8.57)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874FA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61.65 (9.78)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AD47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59.64 (8.97)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9E5A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5027FDD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C78C0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Night sleep duration, hours, mean (SD)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52F7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6.35 (1.88)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EFB9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6.36 (1.82)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A6CF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6.31 (1.90)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7E82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6.27 (1.95)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6612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6.44 (1.87)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ED71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0.024</w:t>
            </w:r>
          </w:p>
        </w:tc>
      </w:tr>
      <w:tr w14:paraId="14A0055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9426BD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LDL cholesterol, mg/dL, mean (SD)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2F54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116.47 (34.82)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6D1F3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113.45 (31.31)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6CF6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115.20 (35.74)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249A96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118.05 (32.39)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F5B7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119.27 (38.64)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9921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11B6370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9FA413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hs-CRP, mg/L, mean (SD)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0A578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2.58 (7.05)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FC9C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2.36 (7.31)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1D7E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2.50 (7.71)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9744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2.76 (7.82)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1CCF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2.74 (5.60)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6069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17FE9A5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6ABEA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AIP score, mean (SD)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20A0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-0.01 (0.33)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B553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-0.28 (0.16)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56259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0.20 (0.21)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080E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-0.25 (0.15)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51B5B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0.28 (0.27)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9032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038594C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74F40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eGDR, mg·kg⁻¹·min⁻¹, mean (SD)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C339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9.33 (2.27)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7E75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11.34 (0.90)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61CE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11.13 (1.03)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3859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7.63 (1.23)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7C1F4A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7.26 (1.50)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6D48F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349AB3B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A9718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Sex, n (%)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763792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3E8D7E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C6F01F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FF68478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F44B3B5">
            <w:pPr>
              <w:spacing w:before="0" w:after="0" w:line="240" w:lineRule="auto"/>
              <w:jc w:val="center"/>
            </w:pP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9AEDE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05CB729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DEE07F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Male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FB472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4,042 (46.6)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89229E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1,304 (50.4)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5E37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802 (45.8)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7C10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826 (47.2)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9DC9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1,110 (42.9)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55F602">
            <w:pPr>
              <w:spacing w:before="0" w:after="0" w:line="240" w:lineRule="auto"/>
              <w:jc w:val="center"/>
            </w:pPr>
          </w:p>
        </w:tc>
      </w:tr>
      <w:tr w14:paraId="35EB375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8F7AAE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Female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63A6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4,629 (53.4)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E868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1,282 (49.6)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EB7E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949 (54.2)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63D82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923 (52.8)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6876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1,475 (57.1)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A14BF1">
            <w:pPr>
              <w:spacing w:before="0" w:after="0" w:line="240" w:lineRule="auto"/>
              <w:jc w:val="center"/>
            </w:pPr>
          </w:p>
        </w:tc>
      </w:tr>
      <w:tr w14:paraId="14F8DC0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B7CA5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Educational level, n (%)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D975F7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8F7E30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E8E235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3B053E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44C3E9">
            <w:pPr>
              <w:spacing w:before="0" w:after="0" w:line="240" w:lineRule="auto"/>
              <w:jc w:val="center"/>
            </w:pP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51C97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20EB6BA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1EE89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Below primary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CDCB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4,199 (48.4)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7F4E9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1,245 (48.1)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9BC28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798 (45.6)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6BEF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920 (52.6)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1D0ED2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1,236 (47.8)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25D1B9">
            <w:pPr>
              <w:spacing w:before="0" w:after="0" w:line="240" w:lineRule="auto"/>
              <w:jc w:val="center"/>
            </w:pPr>
          </w:p>
        </w:tc>
      </w:tr>
      <w:tr w14:paraId="5E8A893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8E413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Elementary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6870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1,921 (22.2)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9EE4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575 (22.2)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B7EF2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377 (21.5)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5DB1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390 (22.3)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97D1B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579 (22.4)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FA1D58E">
            <w:pPr>
              <w:spacing w:before="0" w:after="0" w:line="240" w:lineRule="auto"/>
              <w:jc w:val="center"/>
            </w:pPr>
          </w:p>
        </w:tc>
      </w:tr>
      <w:tr w14:paraId="7BBE49F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3BFF58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Middle school or above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3A11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2,551 (29.4)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BE72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766 (29.6)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2F33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576 (32.9)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D168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439 (25.1)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9A0C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770 (29.8)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EB4B8E">
            <w:pPr>
              <w:spacing w:before="0" w:after="0" w:line="240" w:lineRule="auto"/>
              <w:jc w:val="center"/>
            </w:pPr>
          </w:p>
        </w:tc>
      </w:tr>
      <w:tr w14:paraId="045295F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E27AE1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Marital status, n (%)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4DA468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A908A4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BD53C5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437E64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54834B">
            <w:pPr>
              <w:spacing w:before="0" w:after="0" w:line="240" w:lineRule="auto"/>
              <w:jc w:val="center"/>
            </w:pP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3D9A3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74EAFE5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4EDD1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Married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85CC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7,618 (87.9)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FB57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2,321 (89.8)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69E5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1,586 (90.6)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8469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1,452 (83.0)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6CA8E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2,259 (87.4)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D4C734">
            <w:pPr>
              <w:spacing w:before="0" w:after="0" w:line="240" w:lineRule="auto"/>
              <w:jc w:val="center"/>
            </w:pPr>
          </w:p>
        </w:tc>
      </w:tr>
      <w:tr w14:paraId="6D98C88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2C316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Others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6F7E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1,053 (12.1)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52F9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265 (10.2)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2439A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165 (9.4)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7AE9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297 (17.0)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6EE7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326 (12.6)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DAB3EE6">
            <w:pPr>
              <w:spacing w:before="0" w:after="0" w:line="240" w:lineRule="auto"/>
              <w:jc w:val="center"/>
            </w:pPr>
          </w:p>
        </w:tc>
      </w:tr>
      <w:tr w14:paraId="162AB6F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52E8F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Hukou, n (%)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CC055D3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A9506D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7F3819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97CA09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2E8287">
            <w:pPr>
              <w:spacing w:before="0" w:after="0" w:line="240" w:lineRule="auto"/>
              <w:jc w:val="center"/>
            </w:pP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5244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429010B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BA52D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Rural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09AB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7,250 (83.6)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F3BF3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2,266 (87.6)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FB11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1,479 (84.5)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DCF1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1,460 (83.5)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D2FDD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2,045 (79.1)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04C84D0">
            <w:pPr>
              <w:spacing w:before="0" w:after="0" w:line="240" w:lineRule="auto"/>
              <w:jc w:val="center"/>
            </w:pPr>
          </w:p>
        </w:tc>
      </w:tr>
      <w:tr w14:paraId="2A27AEC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BDDAE0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Urban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269CD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1,421 (16.4)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FFCD5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320 (12.4)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95A1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272 (15.5)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4F53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289 (16.5)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5173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540 (20.9)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B75AEB">
            <w:pPr>
              <w:spacing w:before="0" w:after="0" w:line="240" w:lineRule="auto"/>
              <w:jc w:val="center"/>
            </w:pPr>
          </w:p>
        </w:tc>
      </w:tr>
      <w:tr w14:paraId="6A770A9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68039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Smoking status, n (%)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5EC41F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296B44D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8FBC0D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72DFC8A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3E0E5A">
            <w:pPr>
              <w:spacing w:before="0" w:after="0" w:line="240" w:lineRule="auto"/>
              <w:jc w:val="center"/>
            </w:pP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9B972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1BDBC39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DDA84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Never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8CB3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5,299 (61.1)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C7B4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1,507 (58.3)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65FF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1,067 (60.9)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919FE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1,065 (60.9)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54919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1,660 (64.2)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58059B">
            <w:pPr>
              <w:spacing w:before="0" w:after="0" w:line="240" w:lineRule="auto"/>
              <w:jc w:val="center"/>
            </w:pPr>
          </w:p>
        </w:tc>
      </w:tr>
      <w:tr w14:paraId="1E51CBE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8EAEE6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Former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7C936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723 (8.3)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440A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185 (7.2)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53C7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120 (6.9)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715EB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164 (9.4)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E903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254 (9.8)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C4215F9">
            <w:pPr>
              <w:spacing w:before="0" w:after="0" w:line="240" w:lineRule="auto"/>
              <w:jc w:val="center"/>
            </w:pPr>
          </w:p>
        </w:tc>
      </w:tr>
      <w:tr w14:paraId="2756ED9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07F33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Current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0B96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2,649 (30.6)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EA015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894 (34.6)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E6D96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564 (32.2)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D3B11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520 (29.7)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1FA3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671 (26.0)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DFB607">
            <w:pPr>
              <w:spacing w:before="0" w:after="0" w:line="240" w:lineRule="auto"/>
              <w:jc w:val="center"/>
            </w:pPr>
          </w:p>
        </w:tc>
      </w:tr>
      <w:tr w14:paraId="0D38538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CE61C9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Alcohol drinking, n (%)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2E3990F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73A3DF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629088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34F882D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D27E6DC">
            <w:pPr>
              <w:spacing w:before="0" w:after="0" w:line="240" w:lineRule="auto"/>
              <w:jc w:val="center"/>
            </w:pP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ED06ED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44ED6A7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4E8D80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Never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B36B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5,298 (61.1)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230B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1,508 (58.3)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6C58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1,128 (64.4)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94B1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1,017 (58.1)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63FA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1,645 (63.6)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9EF36D">
            <w:pPr>
              <w:spacing w:before="0" w:after="0" w:line="240" w:lineRule="auto"/>
              <w:jc w:val="center"/>
            </w:pPr>
          </w:p>
        </w:tc>
      </w:tr>
      <w:tr w14:paraId="64A21DA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198D0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Former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6450C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685 (7.9)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F5EB5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174 (6.7)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5275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114 (6.5)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6309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157 (9.0)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27697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240 (9.3)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9DD933">
            <w:pPr>
              <w:spacing w:before="0" w:after="0" w:line="240" w:lineRule="auto"/>
              <w:jc w:val="center"/>
            </w:pPr>
          </w:p>
        </w:tc>
      </w:tr>
      <w:tr w14:paraId="730F9A4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580B8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Current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EBFD4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2,688 (31.0)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37AB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904 (35.0)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2A9FC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509 (29.1)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56C7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575 (32.9)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216C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700 (27.1)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73E7B5E">
            <w:pPr>
              <w:spacing w:before="0" w:after="0" w:line="240" w:lineRule="auto"/>
              <w:jc w:val="center"/>
            </w:pPr>
          </w:p>
        </w:tc>
      </w:tr>
      <w:tr w14:paraId="5E306C6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9E09B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Lipid-lowering medication, n (%)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E81B7C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7321A3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DE4FE5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AABCA53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B7DAC98">
            <w:pPr>
              <w:spacing w:before="0" w:after="0" w:line="240" w:lineRule="auto"/>
              <w:jc w:val="center"/>
            </w:pP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52FF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05CDAB4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BC894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Yes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5EA85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378 (4.4)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1F38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34 (1.3)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BF9C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45 (2.6)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2E362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80 (4.6)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3EACE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219 (8.5)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7B71E7">
            <w:pPr>
              <w:spacing w:before="0" w:after="0" w:line="240" w:lineRule="auto"/>
              <w:jc w:val="center"/>
            </w:pPr>
          </w:p>
        </w:tc>
      </w:tr>
      <w:tr w14:paraId="0C46568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3055A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No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F539E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8,293 (95.6)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076B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2,552 (98.7)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B82A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1,706 (97.4)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4CAA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1,669 (95.4)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9366E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2,366 (91.5)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83D21CB">
            <w:pPr>
              <w:spacing w:before="0" w:after="0" w:line="240" w:lineRule="auto"/>
              <w:jc w:val="center"/>
            </w:pPr>
          </w:p>
        </w:tc>
      </w:tr>
      <w:tr w14:paraId="4A2D463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71E3C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Incident CRMM, n (%)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3B9991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E7F0E77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B5AD8CF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3C832B">
            <w:pPr>
              <w:spacing w:before="0" w:after="0" w:line="240" w:lineRule="auto"/>
              <w:jc w:val="center"/>
            </w:pP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810022">
            <w:pPr>
              <w:spacing w:before="0" w:after="0" w:line="240" w:lineRule="auto"/>
              <w:jc w:val="center"/>
            </w:pP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EEE7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4"/>
              </w:rPr>
              <w:t>&lt;0.001</w:t>
            </w:r>
          </w:p>
        </w:tc>
      </w:tr>
      <w:tr w14:paraId="4AF3DDA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EBE83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Yes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37D1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1,185 (13.7)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5FC3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196 (7.6)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D042E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179 (10.2)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A4A8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271 (15.5)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9E638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539 (20.9)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15448F">
            <w:pPr>
              <w:spacing w:before="0" w:after="0" w:line="240" w:lineRule="auto"/>
              <w:jc w:val="center"/>
            </w:pPr>
          </w:p>
        </w:tc>
      </w:tr>
      <w:tr w14:paraId="2C0866E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8BBA0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4"/>
              </w:rPr>
              <w:t xml:space="preserve">  No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6D261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7,486 (86.3)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D5A2D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2,390 (92.4)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7903A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1,572 (89.8)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31C5B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1,478 (84.5)</w:t>
            </w:r>
          </w:p>
        </w:tc>
        <w:tc>
          <w:tcPr>
            <w:tcW w:w="144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F01E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4"/>
              </w:rPr>
              <w:t>2,046 (79.1)</w:t>
            </w:r>
          </w:p>
        </w:tc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BD30DD">
            <w:pPr>
              <w:spacing w:before="0" w:after="0" w:line="240" w:lineRule="auto"/>
              <w:jc w:val="center"/>
            </w:pPr>
          </w:p>
        </w:tc>
      </w:tr>
    </w:tbl>
    <w:p w14:paraId="5961675D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Note: Values are presented as mean (SD) or n (%). P values were derived from Kruskal-Wallis tests for continuous variables and chi-square tests for categorical variables. Hukou denotes registered household status (rural vs urban) from Harmonized CHARLS (r1rural2), rather than current geographic residence alone.</w:t>
      </w:r>
    </w:p>
    <w:p w14:paraId="08C74FC0">
      <w:pPr>
        <w:spacing w:before="0" w:after="40" w:line="240" w:lineRule="auto"/>
      </w:pPr>
      <w:r>
        <w:rPr>
          <w:rFonts w:ascii="Times New Roman" w:hAnsi="Times New Roman" w:eastAsia="Times New Roman" w:cs="Times New Roman"/>
          <w:sz w:val="18"/>
        </w:rPr>
        <w:t>G1, low AIP/high eGDR (reference); G2, high AIP/high eGDR; G3, low AIP/low eGDR; G4, high AIP/low eGDR.</w:t>
      </w:r>
    </w:p>
    <w:p w14:paraId="614B40FB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CHARLS, China Health and Retirement Longitudinal Study; eGDR, estimated glucose disposal rate; hs-CRP, high-sensitivity C-reactive protein; LDL-C, low-density lipoprotein cholesterol.</w:t>
      </w:r>
    </w:p>
    <w:p w14:paraId="1F08BAEC">
      <w:pPr>
        <w:keepNext/>
        <w:pageBreakBefore/>
        <w:spacing w:before="100" w:after="60" w:line="240" w:lineRule="auto"/>
        <w:rPr>
          <w:b/>
          <w:bCs/>
        </w:rPr>
      </w:pPr>
      <w:r>
        <w:rPr>
          <w:rFonts w:ascii="Times New Roman" w:hAnsi="Times New Roman" w:eastAsia="Times New Roman" w:cs="Times New Roman"/>
          <w:b/>
          <w:sz w:val="20"/>
        </w:rPr>
        <w:t xml:space="preserve">Table S4. </w:t>
      </w:r>
      <w:r>
        <w:rPr>
          <w:rFonts w:ascii="Times New Roman" w:hAnsi="Times New Roman" w:eastAsia="Times New Roman" w:cs="Times New Roman"/>
          <w:sz w:val="20"/>
        </w:rPr>
        <w:t>Joint AIP-eGDR phenotypes and incident CRMM in both cohorts.</w:t>
      </w:r>
    </w:p>
    <w:tbl>
      <w:tblPr>
        <w:tblStyle w:val="33"/>
        <w:tblW w:w="10799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1012"/>
        <w:gridCol w:w="1012"/>
        <w:gridCol w:w="1012"/>
        <w:gridCol w:w="1012"/>
        <w:gridCol w:w="1012"/>
        <w:gridCol w:w="1012"/>
        <w:gridCol w:w="1012"/>
        <w:gridCol w:w="1012"/>
        <w:gridCol w:w="1012"/>
      </w:tblGrid>
      <w:tr w14:paraId="190FDDB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2C9C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Characteristic (participants, n)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9330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Crude model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C7C9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Crude model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480E3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Crude model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FAF64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Model 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B6CFD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Model 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E512A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Model 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E79C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Model 2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72CB5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Model 2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EF22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Model 2</w:t>
            </w:r>
          </w:p>
        </w:tc>
      </w:tr>
      <w:tr w14:paraId="2C266A6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507DD9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2BFD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HR (95% CI)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B890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P value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83322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P for trend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427FD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HR (95% CI)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434F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P value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5EBB0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P for trend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39B3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HR (95% CI)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9FFD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P value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BE3C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2"/>
              </w:rPr>
              <w:t>P for trend</w:t>
            </w:r>
          </w:p>
        </w:tc>
      </w:tr>
      <w:tr w14:paraId="5875AA5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56107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>UK Biobank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026215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7998F2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9ED432C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E36BED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544C986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F3FE15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D6754C1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02B43F5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6DAF1A9">
            <w:pPr>
              <w:spacing w:before="0" w:after="0" w:line="240" w:lineRule="auto"/>
              <w:jc w:val="center"/>
            </w:pPr>
          </w:p>
        </w:tc>
      </w:tr>
      <w:tr w14:paraId="50A7310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6F21E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>AIP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36612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3A53CA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AD2375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33611E4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C591379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4CD2EA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441933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878A39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CE9E99">
            <w:pPr>
              <w:spacing w:before="0" w:after="0" w:line="240" w:lineRule="auto"/>
              <w:jc w:val="center"/>
            </w:pPr>
          </w:p>
        </w:tc>
      </w:tr>
      <w:tr w14:paraId="349C840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EEEA0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Low AIP (n = 197,241)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67CD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4088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BF3994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10DD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0E3F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A16751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055F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2A99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54CF2B">
            <w:pPr>
              <w:spacing w:before="0" w:after="0" w:line="240" w:lineRule="auto"/>
              <w:jc w:val="center"/>
            </w:pPr>
          </w:p>
        </w:tc>
      </w:tr>
      <w:tr w14:paraId="520963A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8C6488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High AIP (n = 197,242)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7591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2.84 (2.76-2.92)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75912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3A28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2571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2.35 (2.28-2.42)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751D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F5CA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708C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2.31 (2.24-2.38)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FCDFF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D492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</w:tr>
      <w:tr w14:paraId="33C1674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B377A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>eGDR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5D9213E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5DD3E83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B3EC26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774F5D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2C694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D0392A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2DCEB6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5FD66A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B1601F">
            <w:pPr>
              <w:spacing w:before="0" w:after="0" w:line="240" w:lineRule="auto"/>
              <w:jc w:val="center"/>
            </w:pPr>
          </w:p>
        </w:tc>
      </w:tr>
      <w:tr w14:paraId="345F2DD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BEFF1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High eGDR (n = 197,242)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F74C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41D6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9CE0B2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8F4C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4703F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3978C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DBB4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BA9B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E32069">
            <w:pPr>
              <w:spacing w:before="0" w:after="0" w:line="240" w:lineRule="auto"/>
              <w:jc w:val="center"/>
            </w:pPr>
          </w:p>
        </w:tc>
      </w:tr>
      <w:tr w14:paraId="4F16CC0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0E98C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Low eGDR (n = 197,241)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79E5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4.57 (4.42-4.72)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56C03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CC12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E662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2.93 (2.84-3.03)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58A6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080E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2757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2.54 (2.46-2.63)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74D83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C95D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</w:tr>
      <w:tr w14:paraId="6F0EDF2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8D1A9C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>Joint groups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8C25D8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94C567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65FD07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A8ABA5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CD91F6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656CFA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1267CC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24C0B2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01405B">
            <w:pPr>
              <w:spacing w:before="0" w:after="0" w:line="240" w:lineRule="auto"/>
              <w:jc w:val="center"/>
            </w:pPr>
          </w:p>
        </w:tc>
      </w:tr>
      <w:tr w14:paraId="2023092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0B903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G1: Low AIP + High eGDR (n = 118,811)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29B39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DAA8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C83F1FF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E77E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E838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D29B0A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929A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74AD3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93E0C8">
            <w:pPr>
              <w:spacing w:before="0" w:after="0" w:line="240" w:lineRule="auto"/>
              <w:jc w:val="center"/>
            </w:pPr>
          </w:p>
        </w:tc>
      </w:tr>
      <w:tr w14:paraId="6536987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58F97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G2: High AIP + High eGDR (n = 78,431)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DABA1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2.53 (2.38-2.68)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70803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2F41DA4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A21FE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2.20 (2.07-2.33)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51C6B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E4F36BD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F398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2.33 (2.19-2.47)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2958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3C5285">
            <w:pPr>
              <w:spacing w:before="0" w:after="0" w:line="240" w:lineRule="auto"/>
              <w:jc w:val="center"/>
            </w:pPr>
          </w:p>
        </w:tc>
      </w:tr>
      <w:tr w14:paraId="2D5B427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E899B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G3: Low AIP + Low eGDR (n = 78,430)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8795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4.36 (4.13-4.60)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E6FA7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794438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3B02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2.75 (2.60-2.91)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CB2B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24CF778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BE83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2.51 (2.38-2.66)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C39A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0AEE0D">
            <w:pPr>
              <w:spacing w:before="0" w:after="0" w:line="240" w:lineRule="auto"/>
              <w:jc w:val="center"/>
            </w:pPr>
          </w:p>
        </w:tc>
      </w:tr>
      <w:tr w14:paraId="331BD3C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9E4650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G4: High AIP + Low eGDR (n = 118,811)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C9B6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9.33 (8.88-9.81)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59B8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2FCBE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53411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5.82 (5.53-6.12)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8CC8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EA46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E92A5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5.24 (4.97-5.52)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D3D8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2DC6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</w:tr>
      <w:tr w14:paraId="4C1FA9A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466A5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>CHARLS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048AC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5E7AB8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F0283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4D5FE6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D38D53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8F5F5C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1C6DA9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17631C7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B1E97B0">
            <w:pPr>
              <w:spacing w:before="0" w:after="0" w:line="240" w:lineRule="auto"/>
              <w:jc w:val="center"/>
            </w:pPr>
          </w:p>
        </w:tc>
      </w:tr>
      <w:tr w14:paraId="4D3EC94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EEAA6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>AIP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5B8B71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C16E8D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65249C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2182924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DA53AA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B725D2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5F6ABE1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D73900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5FED747">
            <w:pPr>
              <w:spacing w:before="0" w:after="0" w:line="240" w:lineRule="auto"/>
              <w:jc w:val="center"/>
            </w:pPr>
          </w:p>
        </w:tc>
      </w:tr>
      <w:tr w14:paraId="267D176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923D09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Low AIP (n = 4,335)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8629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C7A6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F5E276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8656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834F9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2D56E8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BD4A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ABE9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B0AC70">
            <w:pPr>
              <w:spacing w:before="0" w:after="0" w:line="240" w:lineRule="auto"/>
              <w:jc w:val="center"/>
            </w:pPr>
          </w:p>
        </w:tc>
      </w:tr>
      <w:tr w14:paraId="11DB9EC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4BE23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High AIP (n = 4,336)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FF5D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1.57 (1.39-1.76)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28CF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BBFC6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D8E9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1.59 (1.41-1.78)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A849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69AB7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632E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1.48 (1.31-1.66)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9CA74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8524C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</w:tr>
      <w:tr w14:paraId="7FEA61F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EEDF48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>eGDR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B45A99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AB1A58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3CE89C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9D4C6C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A58E90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0E7B6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487BEF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A89D7E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EC6B88">
            <w:pPr>
              <w:spacing w:before="0" w:after="0" w:line="240" w:lineRule="auto"/>
              <w:jc w:val="center"/>
            </w:pPr>
          </w:p>
        </w:tc>
      </w:tr>
      <w:tr w14:paraId="60480F1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306D7D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High eGDR (n = 4,337)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968BA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80510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CD73064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88A1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B3A9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154E6E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3E75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B1B46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772A98F">
            <w:pPr>
              <w:spacing w:before="0" w:after="0" w:line="240" w:lineRule="auto"/>
              <w:jc w:val="center"/>
            </w:pPr>
          </w:p>
        </w:tc>
      </w:tr>
      <w:tr w14:paraId="369F8FE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E7600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Low eGDR (n = 4,334)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CB937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2.38 (2.10-2.69)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90701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8C51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7139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2.23 (1.97-2.53)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F36B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7C3D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6DAA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2.06 (1.82-2.33)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AAADD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5E99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</w:tr>
      <w:tr w14:paraId="14F6B78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B01C7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>Joint groups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B9B7FD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97CEE0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79DBAA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187882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AF3740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2EA850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8E189B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04F7E44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7E3C3D9">
            <w:pPr>
              <w:spacing w:before="0" w:after="0" w:line="240" w:lineRule="auto"/>
              <w:jc w:val="center"/>
            </w:pPr>
          </w:p>
        </w:tc>
      </w:tr>
      <w:tr w14:paraId="272E61A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95A6A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G1: Low AIP + High eGDR (n = 2,586)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8F19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303B2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FD6D11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8803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81B6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308EF5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5D3F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1.00 (Ref)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D38B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-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AFE5D5">
            <w:pPr>
              <w:spacing w:before="0" w:after="0" w:line="240" w:lineRule="auto"/>
              <w:jc w:val="center"/>
            </w:pPr>
          </w:p>
        </w:tc>
      </w:tr>
      <w:tr w14:paraId="44A5311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7F4D7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G2: High AIP + High eGDR (n = 1,751)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6B0A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1.37 (1.12-1.68)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9FC9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0.002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6B9BD77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A702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1.39 (1.13-1.70)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EEC8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0.002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629EDF">
            <w:pPr>
              <w:spacing w:before="0" w:after="0" w:line="240" w:lineRule="auto"/>
              <w:jc w:val="center"/>
            </w:pP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6027D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1.34 (1.10-1.64)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BFDA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0.005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511282">
            <w:pPr>
              <w:spacing w:before="0" w:after="0" w:line="240" w:lineRule="auto"/>
              <w:jc w:val="center"/>
            </w:pPr>
          </w:p>
        </w:tc>
      </w:tr>
      <w:tr w14:paraId="2D4D6AA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B03EDD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G3: Low AIP + Low eGDR (n = 1,749)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15F53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2.29 (1.90-2.75)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4B74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BFAA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5225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2.11 (1.75-2.54)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102A8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9C28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98FB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1.99 (1.65-2.40)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EF52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982F2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</w:tr>
      <w:tr w14:paraId="5F22261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958EA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2"/>
              </w:rPr>
              <w:t xml:space="preserve">  G4: High AIP + Low eGDR (n = 2,585)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C470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3.03 (2.57-3.56)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760A1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8261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CE46E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2.89 (2.45-3.41)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69F0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412B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A4E8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2.58 (2.18-3.05)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9193E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  <w:tc>
          <w:tcPr>
            <w:tcW w:w="10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1F6F8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2"/>
              </w:rPr>
              <w:t>&lt;0.001</w:t>
            </w:r>
          </w:p>
        </w:tc>
      </w:tr>
    </w:tbl>
    <w:p w14:paraId="3C1CD8D0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eGDR, estimated glucose disposal rate; CRMM, cardio-renal-metabolic multimorbidity; HR, hazard ratio; CI, confidence interval.</w:t>
      </w:r>
    </w:p>
    <w:p w14:paraId="39B678D5">
      <w:pPr>
        <w:spacing w:before="20" w:after="20" w:line="240" w:lineRule="auto"/>
      </w:pPr>
      <w:r>
        <w:rPr>
          <w:rFonts w:ascii="Times New Roman" w:hAnsi="Times New Roman" w:eastAsia="Times New Roman" w:cs="Times New Roman"/>
          <w:i/>
          <w:sz w:val="17"/>
        </w:rPr>
        <w:t>P for trend was calculated by modeling the corresponding binary exposure or ordinal joint phenotype as a continuous variable. Crude model: unadjusted. Model 1: adjusted for age and sex. Model 2 in UK Biobank: adjusted for age, sex, race, Townsend deprivation index, education, smoking, alcohol intake, sleep duration, lipid-lowering medication use, LDL-C, and CRP. Model 2 in CHARLS: adjusted for age, sex, education, marital status, hukou, alcohol intake, smoking, sleep duration, lipid-lowering medication use, LDL-C, and hs-CRP.</w:t>
      </w:r>
    </w:p>
    <w:p w14:paraId="2CC3D26A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S5. </w:t>
      </w:r>
      <w:r>
        <w:rPr>
          <w:rFonts w:ascii="Times New Roman" w:hAnsi="Times New Roman" w:eastAsia="Times New Roman" w:cs="Times New Roman"/>
          <w:sz w:val="20"/>
        </w:rPr>
        <w:t>Piecewise associations of AIP and eGDR with incident CRMM.</w:t>
      </w:r>
    </w:p>
    <w:tbl>
      <w:tblPr>
        <w:tblStyle w:val="33"/>
        <w:tblW w:w="10802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982"/>
        <w:gridCol w:w="1200"/>
        <w:gridCol w:w="1364"/>
        <w:gridCol w:w="1091"/>
        <w:gridCol w:w="1364"/>
        <w:gridCol w:w="1091"/>
        <w:gridCol w:w="1364"/>
        <w:gridCol w:w="1091"/>
      </w:tblGrid>
      <w:tr w14:paraId="65F7398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6C0A3E">
            <w:pPr>
              <w:spacing w:before="0" w:after="0" w:line="240" w:lineRule="auto"/>
              <w:jc w:val="center"/>
            </w:pPr>
          </w:p>
        </w:tc>
        <w:tc>
          <w:tcPr>
            <w:tcW w:w="9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D1CF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Marker</w:t>
            </w:r>
          </w:p>
        </w:tc>
        <w:tc>
          <w:tcPr>
            <w:tcW w:w="120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209C0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Threshold</w:t>
            </w:r>
            <w:r>
              <w:rPr>
                <w:rFonts w:ascii="Times New Roman" w:hAnsi="Times New Roman" w:eastAsia="Times New Roman" w:cs="Times New Roman"/>
                <w:b/>
                <w:sz w:val="13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sz w:val="13"/>
              </w:rPr>
              <w:t>point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B1FED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Below threshold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EBDF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Below threshold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E928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Above threshold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CD61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Above threshold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1CD9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z w:val="13"/>
              </w:rPr>
              <w:t xml:space="preserve"> for</w:t>
            </w:r>
            <w:r>
              <w:rPr>
                <w:rFonts w:ascii="Times New Roman" w:hAnsi="Times New Roman" w:eastAsia="Times New Roman" w:cs="Times New Roman"/>
                <w:b/>
                <w:sz w:val="13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sz w:val="13"/>
              </w:rPr>
              <w:t>nonlinearity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E2C6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z w:val="13"/>
              </w:rPr>
              <w:t xml:space="preserve"> for</w:t>
            </w:r>
            <w:r>
              <w:rPr>
                <w:rFonts w:ascii="Times New Roman" w:hAnsi="Times New Roman" w:eastAsia="Times New Roman" w:cs="Times New Roman"/>
                <w:b/>
                <w:sz w:val="13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sz w:val="13"/>
              </w:rPr>
              <w:t>LRT</w:t>
            </w:r>
          </w:p>
        </w:tc>
      </w:tr>
      <w:tr w14:paraId="47A9E4F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8670DC4">
            <w:pPr>
              <w:spacing w:before="0" w:after="0" w:line="240" w:lineRule="auto"/>
              <w:jc w:val="left"/>
            </w:pPr>
          </w:p>
        </w:tc>
        <w:tc>
          <w:tcPr>
            <w:tcW w:w="9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487FF9C">
            <w:pPr>
              <w:spacing w:before="0" w:after="0" w:line="240" w:lineRule="auto"/>
              <w:jc w:val="center"/>
            </w:pPr>
          </w:p>
        </w:tc>
        <w:tc>
          <w:tcPr>
            <w:tcW w:w="120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065AA42">
            <w:pPr>
              <w:spacing w:before="0" w:after="0" w:line="240" w:lineRule="auto"/>
              <w:jc w:val="center"/>
            </w:pP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4194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HR (95% CI)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9F342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4515C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HR (95% CI)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4B3F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C3D76D">
            <w:pPr>
              <w:spacing w:before="0" w:after="0" w:line="240" w:lineRule="auto"/>
              <w:jc w:val="center"/>
            </w:pP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2C32E8">
            <w:pPr>
              <w:spacing w:before="0" w:after="0" w:line="240" w:lineRule="auto"/>
              <w:jc w:val="center"/>
            </w:pPr>
          </w:p>
        </w:tc>
      </w:tr>
      <w:tr w14:paraId="59DCA7E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C1CD2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>UK Biobank</w:t>
            </w:r>
          </w:p>
        </w:tc>
        <w:tc>
          <w:tcPr>
            <w:tcW w:w="9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E7D0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AIP</w:t>
            </w:r>
          </w:p>
        </w:tc>
        <w:tc>
          <w:tcPr>
            <w:tcW w:w="120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C27FA4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0.34883559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B90E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6.790 (6.330-7.270)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5D9C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50BEB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3.160 (2.790-3.590)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B2385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2860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FAF6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3F4D31C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22A822">
            <w:pPr>
              <w:spacing w:before="0" w:after="0" w:line="240" w:lineRule="auto"/>
              <w:jc w:val="left"/>
            </w:pPr>
          </w:p>
        </w:tc>
        <w:tc>
          <w:tcPr>
            <w:tcW w:w="9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998D7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eGDR</w:t>
            </w:r>
          </w:p>
        </w:tc>
        <w:tc>
          <w:tcPr>
            <w:tcW w:w="120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A156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10.2700700836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832D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0.7600 (0.7600-0.770)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8176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98DE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0.520 (0.490-0.560)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9702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E403B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136D3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594B90A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7ACAD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>CHARLS</w:t>
            </w:r>
          </w:p>
        </w:tc>
        <w:tc>
          <w:tcPr>
            <w:tcW w:w="9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4C4CB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AIP</w:t>
            </w:r>
          </w:p>
        </w:tc>
        <w:tc>
          <w:tcPr>
            <w:tcW w:w="120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CCCA4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-0.4020222692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1DE71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0.710 (0.150-3.430)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BCED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0.672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DE92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2.150 (1.800-2.580)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CB9E5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A647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0.570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0EF7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0.204</w:t>
            </w:r>
          </w:p>
        </w:tc>
      </w:tr>
      <w:tr w14:paraId="49EFF94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F8386C">
            <w:pPr>
              <w:spacing w:before="0" w:after="0" w:line="240" w:lineRule="auto"/>
              <w:jc w:val="left"/>
            </w:pPr>
          </w:p>
        </w:tc>
        <w:tc>
          <w:tcPr>
            <w:tcW w:w="9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79956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eGDR</w:t>
            </w:r>
          </w:p>
        </w:tc>
        <w:tc>
          <w:tcPr>
            <w:tcW w:w="120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A139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11.1466462498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424B6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0.810 (0.790-0.840)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F88BC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BC71B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1.110 (0.990-1.240)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6EB6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0.078</w:t>
            </w:r>
          </w:p>
        </w:tc>
        <w:tc>
          <w:tcPr>
            <w:tcW w:w="13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5C5D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0.001</w:t>
            </w:r>
          </w:p>
        </w:tc>
        <w:tc>
          <w:tcPr>
            <w:tcW w:w="10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86C9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</w:tbl>
    <w:p w14:paraId="163AE05A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CHARLS, China Health and Retirement Longitudinal Study; CI, confidence interval; eGDR, estimated glucose disposal rate; HR, hazard ratio; LRT, likelihood-ratio test. Segment-specific HRs are reported per one-unit increase in the corresponding continuous marker; eGDR is expressed in mg·kg⁻¹·min⁻¹.</w:t>
      </w:r>
    </w:p>
    <w:p w14:paraId="350831B4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S6. </w:t>
      </w:r>
      <w:r>
        <w:rPr>
          <w:rFonts w:ascii="Times New Roman" w:hAnsi="Times New Roman" w:eastAsia="Times New Roman" w:cs="Times New Roman"/>
          <w:sz w:val="20"/>
        </w:rPr>
        <w:t>Exploratory discrimination and reclassification metrics in CHARLS.</w:t>
      </w:r>
    </w:p>
    <w:tbl>
      <w:tblPr>
        <w:tblStyle w:val="33"/>
        <w:tblW w:w="10800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9"/>
        <w:gridCol w:w="1467"/>
        <w:gridCol w:w="1937"/>
        <w:gridCol w:w="1350"/>
        <w:gridCol w:w="1937"/>
        <w:gridCol w:w="1350"/>
      </w:tblGrid>
      <w:tr w14:paraId="3A81E14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75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6784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Model</w:t>
            </w:r>
          </w:p>
        </w:tc>
        <w:tc>
          <w:tcPr>
            <w:tcW w:w="146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562F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9-year AUC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75C0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IDI (95% CI)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73D6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6"/>
              </w:rPr>
              <w:t>P value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F39A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NRI (95% CI)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8C75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6"/>
              </w:rPr>
              <w:t>P value</w:t>
            </w:r>
          </w:p>
        </w:tc>
      </w:tr>
      <w:tr w14:paraId="7FF2A07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ACB60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6"/>
              </w:rPr>
              <w:t>Basic model</w:t>
            </w:r>
          </w:p>
        </w:tc>
        <w:tc>
          <w:tcPr>
            <w:tcW w:w="146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D0758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0.6553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3971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-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D6EE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-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90F3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-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E1A7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-</w:t>
            </w:r>
          </w:p>
        </w:tc>
      </w:tr>
      <w:tr w14:paraId="3F1F1F6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027F0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6"/>
              </w:rPr>
              <w:t>Basic model + AIP</w:t>
            </w:r>
          </w:p>
        </w:tc>
        <w:tc>
          <w:tcPr>
            <w:tcW w:w="146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D0C1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0.6763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9888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0.0077 (0.0039-0.0128)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BF28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&lt;0.001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7F2C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0.213 (0.147-0.280)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D16B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&lt;0.001</w:t>
            </w:r>
          </w:p>
        </w:tc>
      </w:tr>
      <w:tr w14:paraId="60EAECD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059CC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6"/>
              </w:rPr>
              <w:t>Basic model + eGDR</w:t>
            </w:r>
          </w:p>
        </w:tc>
        <w:tc>
          <w:tcPr>
            <w:tcW w:w="146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5C1B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0.6779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8FCB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0.0227 (0.0154-0.0311)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6CFA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&lt;0.001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D2DF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0.391 (0.333-0.450)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CFA4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&lt;0.001</w:t>
            </w:r>
          </w:p>
        </w:tc>
      </w:tr>
      <w:tr w14:paraId="3F3A1D0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8D74E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6"/>
              </w:rPr>
              <w:t>Basic model + AIP + eGDR</w:t>
            </w:r>
          </w:p>
        </w:tc>
        <w:tc>
          <w:tcPr>
            <w:tcW w:w="146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C9EE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0.6857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CD7E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0.0253 (0.0182-0.0356)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7255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&lt;0.001</w:t>
            </w:r>
          </w:p>
        </w:tc>
        <w:tc>
          <w:tcPr>
            <w:tcW w:w="1937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3731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0.385 (0.328-0.453)</w:t>
            </w:r>
          </w:p>
        </w:tc>
        <w:tc>
          <w:tcPr>
            <w:tcW w:w="135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6EA1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6"/>
              </w:rPr>
              <w:t>&lt;0.001</w:t>
            </w:r>
          </w:p>
        </w:tc>
      </w:tr>
    </w:tbl>
    <w:p w14:paraId="5B712B35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S7. </w:t>
      </w:r>
      <w:r>
        <w:rPr>
          <w:rFonts w:ascii="Times New Roman" w:hAnsi="Times New Roman" w:eastAsia="Times New Roman" w:cs="Times New Roman"/>
          <w:sz w:val="20"/>
        </w:rPr>
        <w:t>Additive interaction between AIP and eGDR in UK Biobank.</w:t>
      </w:r>
    </w:p>
    <w:tbl>
      <w:tblPr>
        <w:tblStyle w:val="32"/>
        <w:tblW w:w="10798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769"/>
        <w:gridCol w:w="1220"/>
        <w:gridCol w:w="1769"/>
        <w:gridCol w:w="1220"/>
        <w:gridCol w:w="1769"/>
        <w:gridCol w:w="1220"/>
      </w:tblGrid>
      <w:tr w14:paraId="68FE7A9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31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F9389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15"/>
                <w:szCs w:val="20"/>
              </w:rPr>
              <w:t>Interaction index</w:t>
            </w:r>
          </w:p>
        </w:tc>
        <w:tc>
          <w:tcPr>
            <w:tcW w:w="1769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0B7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15"/>
                <w:szCs w:val="20"/>
              </w:rPr>
              <w:t>Crude model</w:t>
            </w:r>
          </w:p>
        </w:tc>
        <w:tc>
          <w:tcPr>
            <w:tcW w:w="122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4C778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5"/>
                <w:szCs w:val="20"/>
              </w:rPr>
              <w:t>P value</w:t>
            </w:r>
          </w:p>
        </w:tc>
        <w:tc>
          <w:tcPr>
            <w:tcW w:w="1769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35402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15"/>
                <w:szCs w:val="20"/>
              </w:rPr>
              <w:t>Model 1</w:t>
            </w:r>
          </w:p>
        </w:tc>
        <w:tc>
          <w:tcPr>
            <w:tcW w:w="122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001C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5"/>
                <w:szCs w:val="20"/>
              </w:rPr>
              <w:t>P value</w:t>
            </w:r>
          </w:p>
        </w:tc>
        <w:tc>
          <w:tcPr>
            <w:tcW w:w="1769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4E76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15"/>
                <w:szCs w:val="20"/>
              </w:rPr>
              <w:t>Model 2</w:t>
            </w:r>
          </w:p>
        </w:tc>
        <w:tc>
          <w:tcPr>
            <w:tcW w:w="1220" w:type="dxa"/>
            <w:tcBorders>
              <w:top w:val="single" w:color="666666" w:sz="12" w:space="0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11F5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15"/>
                <w:szCs w:val="20"/>
              </w:rPr>
              <w:t>P value</w:t>
            </w:r>
          </w:p>
        </w:tc>
      </w:tr>
      <w:tr w14:paraId="1F5362D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31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B237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RERI</w:t>
            </w:r>
          </w:p>
        </w:tc>
        <w:tc>
          <w:tcPr>
            <w:tcW w:w="1769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180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3.440 (2.904-3.989)</w:t>
            </w:r>
          </w:p>
        </w:tc>
        <w:tc>
          <w:tcPr>
            <w:tcW w:w="1220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0F598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  <w:tc>
          <w:tcPr>
            <w:tcW w:w="1769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8DB9D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1.870 (1.514-2.231)</w:t>
            </w:r>
          </w:p>
        </w:tc>
        <w:tc>
          <w:tcPr>
            <w:tcW w:w="1220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2BEB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  <w:tc>
          <w:tcPr>
            <w:tcW w:w="1769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E52C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1.400 (1.063-1.741)</w:t>
            </w:r>
          </w:p>
        </w:tc>
        <w:tc>
          <w:tcPr>
            <w:tcW w:w="1220" w:type="dxa"/>
            <w:tcBorders>
              <w:top w:val="single" w:color="666666" w:sz="12" w:space="0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F8C2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</w:tr>
      <w:tr w14:paraId="2F94BF0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03A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AP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8F44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0.368 (0.324-0.411)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63495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450F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0.321 (0.270-0.368)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5FF8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DAE9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0.266 (0.211-0.319)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2FB0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</w:tr>
      <w:tr w14:paraId="7C9E8B5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31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8706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SI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80B4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1.705 (1.573-1.845)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A21B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0FD9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1.635 (1.490-1.792)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1E0F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  <w:tc>
          <w:tcPr>
            <w:tcW w:w="1769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4DF2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1.494 (1.357-1.641)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666666" w:sz="12" w:space="0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510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" w:right="4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5"/>
                <w:szCs w:val="20"/>
              </w:rPr>
              <w:t>&lt;0.001</w:t>
            </w:r>
          </w:p>
        </w:tc>
      </w:tr>
    </w:tbl>
    <w:p w14:paraId="6954940B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Note: UKB, UK Biobank; AIP, atherogenic index of plasma; eGDR, estimated glucose disposal rate; CRMM, cardio-renal-metabolic multimorbidity; RERI, relative excess risk due to interaction; AP, attributable proportion due to interaction; SI, synergy index; CI, confidence interval.</w:t>
      </w:r>
    </w:p>
    <w:p w14:paraId="6CC06B8B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Crude model: unadjusted. Model 1: adjusted for age and sex. Model 2: adjusted for age, sex, race, Townsend deprivation index, education, smoking, alcohol intake, sleep duration, lipid-lowering medication use, LDL-C, and CRP.</w:t>
      </w:r>
    </w:p>
    <w:p w14:paraId="45FC270E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S8. </w:t>
      </w:r>
      <w:r>
        <w:rPr>
          <w:rFonts w:ascii="Times New Roman" w:hAnsi="Times New Roman" w:eastAsia="Times New Roman" w:cs="Times New Roman"/>
          <w:sz w:val="20"/>
        </w:rPr>
        <w:t>Additive interaction between AIP and eGDR in CHARLS.</w:t>
      </w:r>
    </w:p>
    <w:tbl>
      <w:tblPr>
        <w:tblStyle w:val="33"/>
        <w:tblW w:w="10798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769"/>
        <w:gridCol w:w="1220"/>
        <w:gridCol w:w="1769"/>
        <w:gridCol w:w="1220"/>
        <w:gridCol w:w="1769"/>
        <w:gridCol w:w="1220"/>
      </w:tblGrid>
      <w:tr w14:paraId="1D8B661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3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5731A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5"/>
              </w:rPr>
              <w:t>Interaction index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D724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5"/>
              </w:rPr>
              <w:t>Crude model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94A5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5"/>
              </w:rPr>
              <w:t>P value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C9FD0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5"/>
              </w:rPr>
              <w:t>Model 1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16C2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5"/>
              </w:rPr>
              <w:t>P value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637BB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5"/>
              </w:rPr>
              <w:t>Model 2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1AFD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5"/>
              </w:rPr>
              <w:t>P value</w:t>
            </w:r>
          </w:p>
        </w:tc>
      </w:tr>
      <w:tr w14:paraId="062CE17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3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D7DAF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5"/>
              </w:rPr>
              <w:t>RERI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F81D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0.363 (-0.349-1.075)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8DED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0.315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E816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0.387 (-0.292-1.068)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AE6E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0.262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DED0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0.240 (-0.396-0.875)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0E041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0.457</w:t>
            </w:r>
          </w:p>
        </w:tc>
      </w:tr>
      <w:tr w14:paraId="11DF94B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3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D1BC1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5"/>
              </w:rPr>
              <w:t>AP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288F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0.113 (-0.129-0.317)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290F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0.315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05192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0.127 (-0.112-0.330)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47411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0.262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E04A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0.086 (-0.171-0.303)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A819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0.457</w:t>
            </w:r>
          </w:p>
        </w:tc>
      </w:tr>
      <w:tr w14:paraId="1BE2D8F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3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957E53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5"/>
              </w:rPr>
              <w:t>SI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C00B7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1.248 (0.830-1.827)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880C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0.315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66E5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1.291 (0.845-1.929)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E919E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0.262</w:t>
            </w:r>
          </w:p>
        </w:tc>
        <w:tc>
          <w:tcPr>
            <w:tcW w:w="1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6C50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1.217 (0.768-1.875)</w:t>
            </w:r>
          </w:p>
        </w:tc>
        <w:tc>
          <w:tcPr>
            <w:tcW w:w="122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694E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5"/>
              </w:rPr>
              <w:t>0.457</w:t>
            </w:r>
          </w:p>
        </w:tc>
      </w:tr>
    </w:tbl>
    <w:p w14:paraId="56F26AE8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Crude model: unadjusted. Model 1: adjusted for age and sex. Model 2: adjusted for age, sex, education, marital status, hukou, alcohol intake, smoking status, sleep duration, lipid-lowering medication use, LDL-C, and hs-CRP.</w:t>
      </w:r>
    </w:p>
    <w:p w14:paraId="2CFC3C72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AP, attributable proportion due to interaction; CHARLS, China Health and Retirement Longitudinal Study; CI, confidence interval; CRMM, cardio-renal-metabolic multimorbidity; eGDR, estimated glucose disposal rate; RERI, relative excess risk due to interaction; SI, synergy index.</w:t>
      </w:r>
    </w:p>
    <w:p w14:paraId="319A02E3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S9. </w:t>
      </w:r>
      <w:r>
        <w:rPr>
          <w:rFonts w:ascii="Times New Roman" w:hAnsi="Times New Roman" w:eastAsia="Times New Roman" w:cs="Times New Roman"/>
          <w:sz w:val="20"/>
        </w:rPr>
        <w:t>Coarse transition-specific associations in UK Biobank.</w:t>
      </w:r>
    </w:p>
    <w:tbl>
      <w:tblPr>
        <w:tblStyle w:val="33"/>
        <w:tblW w:w="10800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1"/>
        <w:gridCol w:w="1473"/>
        <w:gridCol w:w="2945"/>
        <w:gridCol w:w="1691"/>
      </w:tblGrid>
      <w:tr w14:paraId="22741FC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6D80D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Transition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F502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Exposure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6D40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HR (95% CI)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4CF5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z w:val="18"/>
              </w:rPr>
              <w:t xml:space="preserve"> value</w:t>
            </w:r>
          </w:p>
        </w:tc>
      </w:tr>
      <w:tr w14:paraId="193CAEE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F3BFB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Dual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0E2E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2993C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2.24 (2.18-2.31)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1726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71AFAF5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0DDFB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Dual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4BE0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FBB4E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2.43 (2.35-2.52)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56A2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4A72431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E690E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5177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5FB9D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1.00 (0.98-1.03)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6A13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0.813</w:t>
            </w:r>
          </w:p>
        </w:tc>
      </w:tr>
      <w:tr w14:paraId="20510C8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83A67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95DB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0167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1.12 (1.10-1.15)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FCBFA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4558D6C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59C2D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Dual comorbidity to Triple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93EC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D928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1.40 (1.29-1.53)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EC39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552F8ED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34225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Dual comorbidity to Triple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16A7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34B8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1.53 (1.37-1.70)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8FBC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057F96B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87382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Dual comorbidity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8201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81EF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0.82 (0.78-0.87)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BB24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409907C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C637B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Dual comorbidity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5408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CF3A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0.90 (0.84-0.97)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12998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0.004</w:t>
            </w:r>
          </w:p>
        </w:tc>
      </w:tr>
      <w:tr w14:paraId="7D94ACF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CBD2B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Triple comorbidity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6012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ABAB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0.94 (0.83-1.07)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CF0F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0.351</w:t>
            </w:r>
          </w:p>
        </w:tc>
      </w:tr>
      <w:tr w14:paraId="159DC3A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BDC0D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Triple comorbidity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9C3B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ACCB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1.12 (0.94-1.34)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1A1B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0.203</w:t>
            </w:r>
          </w:p>
        </w:tc>
      </w:tr>
    </w:tbl>
    <w:p w14:paraId="6066F84A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Note. Transition combines the source and destination states in the Markov diagram. Values are presented as HR (95% CI). Dual comorbidity denotes any two of cardiovascular disease, type 2 diabetes, and chronic kidney disease; triple comorbidity denotes all three conditions. UK Biobank is abbreviated as UKB in file names.</w:t>
      </w:r>
    </w:p>
    <w:p w14:paraId="695011F0">
      <w:pPr>
        <w:spacing w:before="0" w:after="40" w:line="240" w:lineRule="auto"/>
      </w:pPr>
      <w:r>
        <w:rPr>
          <w:rFonts w:ascii="Times New Roman" w:hAnsi="Times New Roman" w:eastAsia="Times New Roman" w:cs="Times New Roman"/>
          <w:sz w:val="17"/>
        </w:rPr>
        <w:t>Models were adjusted for age, sex, race, Townsend deprivation index, education, smoking, alcohol intake, sleep duration, lipid-lowering medication use, LDL-C, and CRP. AIP compares high versus low AIP; eGDR compares low versus high eGDR.</w:t>
      </w:r>
    </w:p>
    <w:p w14:paraId="3FCD02F9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CI, confidence interval; CKD, chronic kidney disease; CRMM, cardio-renal-metabolic multimorbidity; CVD, cardiovascular disease; eGDR, estimated glucose disposal rate; HR, hazard ratio; T2D, type 2 diabetes; UKB, UK Biobank.</w:t>
      </w:r>
    </w:p>
    <w:p w14:paraId="5DB37827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S10. </w:t>
      </w:r>
      <w:r>
        <w:rPr>
          <w:rFonts w:ascii="Times New Roman" w:hAnsi="Times New Roman" w:eastAsia="Times New Roman" w:cs="Times New Roman"/>
          <w:sz w:val="20"/>
        </w:rPr>
        <w:t>Detailed transition-specific associations in UK Biobank.</w:t>
      </w:r>
    </w:p>
    <w:tbl>
      <w:tblPr>
        <w:tblStyle w:val="33"/>
        <w:tblW w:w="10800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1"/>
        <w:gridCol w:w="1473"/>
        <w:gridCol w:w="2945"/>
        <w:gridCol w:w="1691"/>
      </w:tblGrid>
      <w:tr w14:paraId="54AFC1E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1557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Transition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BC09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Exposure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CF85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HR (95% CI)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3A112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8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z w:val="18"/>
              </w:rPr>
              <w:t xml:space="preserve"> value</w:t>
            </w:r>
          </w:p>
        </w:tc>
      </w:tr>
      <w:tr w14:paraId="264B6ED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AEAD7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CVD &amp; T2D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423D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3D13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2.87 (2.74-3.00)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1316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347C93A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E863C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CVD &amp; T2D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49C2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A591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3.08 (2.93-3.24)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D88B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2BAEE47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39735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CVD &amp; CKD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0AAC3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7EA5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1.42 (1.36-1.49)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B277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45DFB41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7E588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CVD &amp; CKD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181E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54D3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1.60 (1.52-1.69)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4C72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07C6335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0CF55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T2D &amp; CKD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2BF8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E8F2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3.76 (3.41-4.14)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A58A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6BF1EED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AB78C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T2D &amp; CKD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462A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CC50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3.90 (3.48-4.36)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4C01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33F3F87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643B2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3DC5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C6B9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1.00 (0.98-1.03)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CEA7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0.813</w:t>
            </w:r>
          </w:p>
        </w:tc>
      </w:tr>
      <w:tr w14:paraId="2B7E7E2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8F53A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no CRMM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8A16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8924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1.12 (1.10-1.15)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45B6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66912C5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B9FCC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CVD &amp; T2D to Triple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222B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DDD2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1.23 (1.10-1.37)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D9C6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66A1339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5E99C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CVD &amp; T2D to Triple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3DA2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8A79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1.27 (1.11-1.46)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534C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400C0CF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457A8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CVD &amp; T2D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7B6A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BA7D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0.84 (0.77-0.92)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64AB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360B939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59A2A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CVD &amp; T2D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C22C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257A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0.85 (0.76-0.94)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E173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0.002</w:t>
            </w:r>
          </w:p>
        </w:tc>
      </w:tr>
      <w:tr w14:paraId="63D49E0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2A85A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CVD &amp; CKD to Triple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55A0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F634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1.71 (1.41-2.06)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4AEF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6784F2C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BF806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CVD &amp; CKD to Triple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AD03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6CEF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1.58 (1.28-1.97)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3DB6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&lt;0.001</w:t>
            </w:r>
          </w:p>
        </w:tc>
      </w:tr>
      <w:tr w14:paraId="7713F9D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6304E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CVD &amp; CKD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BEE8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F8E1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0.89 (0.82-0.97)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01C5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0.008</w:t>
            </w:r>
          </w:p>
        </w:tc>
      </w:tr>
      <w:tr w14:paraId="4147819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64324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CVD &amp; CKD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E995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24A2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1.06 (0.97-1.17)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7353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0.206</w:t>
            </w:r>
          </w:p>
        </w:tc>
      </w:tr>
      <w:tr w14:paraId="72F90B5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42FE1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T2D &amp; CKD to Triple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1A34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4A1C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0.83 (0.69-1.00)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360F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0.048</w:t>
            </w:r>
          </w:p>
        </w:tc>
      </w:tr>
      <w:tr w14:paraId="37D8F83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3552F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T2D &amp; CKD to Triple comorbidity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BD7E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BAAA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1.29 (0.99-1.66)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19B2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0.055</w:t>
            </w:r>
          </w:p>
        </w:tc>
      </w:tr>
      <w:tr w14:paraId="17C12E3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B6B56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T2D &amp; CKD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5970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3541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1.03 (0.81-1.32)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1B4F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0.794</w:t>
            </w:r>
          </w:p>
        </w:tc>
      </w:tr>
      <w:tr w14:paraId="4D8C3D7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16654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T2D &amp; CKD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38D7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AB2B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0.89 (0.67-1.18)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A845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0.408</w:t>
            </w:r>
          </w:p>
        </w:tc>
      </w:tr>
      <w:tr w14:paraId="61AC4BA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1F01C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Triple comorbidity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9514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AIP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33E2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0.94 (0.83-1.07)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7605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0.351</w:t>
            </w:r>
          </w:p>
        </w:tc>
      </w:tr>
      <w:tr w14:paraId="1924019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DF9C5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From Triple comorbidity to Death</w:t>
            </w:r>
          </w:p>
        </w:tc>
        <w:tc>
          <w:tcPr>
            <w:tcW w:w="1473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7D78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eGDR</w:t>
            </w:r>
          </w:p>
        </w:tc>
        <w:tc>
          <w:tcPr>
            <w:tcW w:w="2945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8261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1.12 (0.94-1.34)</w:t>
            </w:r>
          </w:p>
        </w:tc>
        <w:tc>
          <w:tcPr>
            <w:tcW w:w="16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EE5A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0.203</w:t>
            </w:r>
          </w:p>
        </w:tc>
      </w:tr>
    </w:tbl>
    <w:p w14:paraId="155D7AC9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Note. Transition combines the source and destination states in the Markov diagram. Values are presented as HR (95% CI). Dual comorbidity denotes any two of cardiovascular disease, type 2 diabetes, and chronic kidney disease; triple comorbidity denotes all three conditions. UK Biobank is abbreviated as UKB in file names.</w:t>
      </w:r>
    </w:p>
    <w:p w14:paraId="3E3C39B3">
      <w:pPr>
        <w:spacing w:before="0" w:after="40" w:line="240" w:lineRule="auto"/>
      </w:pPr>
      <w:r>
        <w:rPr>
          <w:rFonts w:ascii="Times New Roman" w:hAnsi="Times New Roman" w:eastAsia="Times New Roman" w:cs="Times New Roman"/>
          <w:sz w:val="17"/>
        </w:rPr>
        <w:t>Models were adjusted for age, sex, race, Townsend deprivation index, education, smoking, alcohol intake, sleep duration, lipid-lowering medication use, LDL-C, and CRP. AIP compares high versus low AIP; eGDR compares low versus high eGDR.</w:t>
      </w:r>
    </w:p>
    <w:p w14:paraId="277E6936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CI, confidence interval; CKD, chronic kidney disease; CRMM, cardio-renal-metabolic multimorbidity; CVD, cardiovascular disease; eGDR, estimated glucose disposal rate; HR, hazard ratio; T2D, type 2 diabetes; UKB, UK Biobank.</w:t>
      </w:r>
    </w:p>
    <w:p w14:paraId="37E6D377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S11. </w:t>
      </w:r>
      <w:r>
        <w:rPr>
          <w:rFonts w:ascii="Times New Roman" w:hAnsi="Times New Roman" w:eastAsia="Times New Roman" w:cs="Times New Roman"/>
          <w:sz w:val="20"/>
        </w:rPr>
        <w:t>Coarse CRMM transition routes in UK Biobank.</w:t>
      </w:r>
    </w:p>
    <w:tbl>
      <w:tblPr>
        <w:tblStyle w:val="33"/>
        <w:tblW w:w="10800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2400"/>
        <w:gridCol w:w="2400"/>
        <w:gridCol w:w="2291"/>
        <w:gridCol w:w="2509"/>
      </w:tblGrid>
      <w:tr w14:paraId="22D7993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4B48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Path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34F9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From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4534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To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F686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N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81E9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Percent</w:t>
            </w:r>
          </w:p>
        </w:tc>
      </w:tr>
      <w:tr w14:paraId="3CB300C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1E34A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t1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D73B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No CRMM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1233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Dual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4FAB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23,289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6C24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5.9%</w:t>
            </w:r>
          </w:p>
        </w:tc>
      </w:tr>
      <w:tr w14:paraId="33F567E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3260C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t2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B7CE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Dual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6F13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Triple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5D81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3,308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2FDB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14.2%</w:t>
            </w:r>
          </w:p>
        </w:tc>
      </w:tr>
      <w:tr w14:paraId="5408B23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A02BF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t3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C35F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No CRMM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3EF0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Death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984F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33,742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2E6C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8.6%</w:t>
            </w:r>
          </w:p>
        </w:tc>
      </w:tr>
      <w:tr w14:paraId="6206C69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A9241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t4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DA97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Dual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E710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Death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8379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5,854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E28B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25.1%</w:t>
            </w:r>
          </w:p>
        </w:tc>
      </w:tr>
      <w:tr w14:paraId="2B4EF42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FC67F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t5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2E41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Triple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900D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Death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5800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1,448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1427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43.8%</w:t>
            </w:r>
          </w:p>
        </w:tc>
      </w:tr>
    </w:tbl>
    <w:p w14:paraId="0EF9041D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Values are presented as n (%), with the denominator defined by the source state for each transition. The no-CRMM state includes participants with zero or one component disease. Dual, any two of CVD, T2D, and CKD; Triple, all three component diseases.</w:t>
      </w:r>
    </w:p>
    <w:p w14:paraId="53110C04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S12. </w:t>
      </w:r>
      <w:r>
        <w:rPr>
          <w:rFonts w:ascii="Times New Roman" w:hAnsi="Times New Roman" w:eastAsia="Times New Roman" w:cs="Times New Roman"/>
          <w:sz w:val="20"/>
        </w:rPr>
        <w:t>Detailed CRMM transition routes in UK Biobank.</w:t>
      </w:r>
    </w:p>
    <w:tbl>
      <w:tblPr>
        <w:tblStyle w:val="33"/>
        <w:tblW w:w="10800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2400"/>
        <w:gridCol w:w="2400"/>
        <w:gridCol w:w="2291"/>
        <w:gridCol w:w="2509"/>
      </w:tblGrid>
      <w:tr w14:paraId="67B6BC4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06E5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Path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8CDC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From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F0A2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To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85BA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N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5EB0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Percent</w:t>
            </w:r>
          </w:p>
        </w:tc>
      </w:tr>
      <w:tr w14:paraId="5C09484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62E35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t1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B937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No CRMM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89BB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CM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FCB6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12,487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E5556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3.2%</w:t>
            </w:r>
          </w:p>
        </w:tc>
      </w:tr>
      <w:tr w14:paraId="6E45470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267DB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t2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B0EE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No CRMM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B8BB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CR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FAEB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8,233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2BB82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2.1%</w:t>
            </w:r>
          </w:p>
        </w:tc>
      </w:tr>
      <w:tr w14:paraId="0BEB959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C39A4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t3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01BC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No CRMM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A5A0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RM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1C42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2,569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2EFEA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0.7%</w:t>
            </w:r>
          </w:p>
        </w:tc>
      </w:tr>
      <w:tr w14:paraId="77F5A01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D6D50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t4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B6CA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CM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7FA3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Triple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C301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2,020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119E6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16.2%</w:t>
            </w:r>
          </w:p>
        </w:tc>
      </w:tr>
      <w:tr w14:paraId="06E22E1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0B7CA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t5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BAEF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CR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8149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Triple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FEBF1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613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F526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7.4%</w:t>
            </w:r>
          </w:p>
        </w:tc>
      </w:tr>
      <w:tr w14:paraId="649F029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0E9E1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t6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D3B6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RM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11923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Triple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22C7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675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5359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26.3%</w:t>
            </w:r>
          </w:p>
        </w:tc>
      </w:tr>
      <w:tr w14:paraId="26EEBA1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330D3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t7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8E86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No CRMM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CA5A4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Death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F538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33,742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7A96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8.6%</w:t>
            </w:r>
          </w:p>
        </w:tc>
      </w:tr>
      <w:tr w14:paraId="354D483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663C3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t8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2173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CM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5A08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Death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14D1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2,815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A4B1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22.5%</w:t>
            </w:r>
          </w:p>
        </w:tc>
      </w:tr>
      <w:tr w14:paraId="7CFD6D7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D787B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t9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7E8A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CR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9C65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Death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EDA8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2,603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6147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31.6%</w:t>
            </w:r>
          </w:p>
        </w:tc>
      </w:tr>
      <w:tr w14:paraId="4374720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5E7FA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t10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52D2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RM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6432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Death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E8C8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436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71C3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17.0%</w:t>
            </w:r>
          </w:p>
        </w:tc>
      </w:tr>
      <w:tr w14:paraId="0CD0E5F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46F72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8"/>
              </w:rPr>
              <w:t>t11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840B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Triple</w:t>
            </w:r>
          </w:p>
        </w:tc>
        <w:tc>
          <w:tcPr>
            <w:tcW w:w="2400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B260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Death</w:t>
            </w:r>
          </w:p>
        </w:tc>
        <w:tc>
          <w:tcPr>
            <w:tcW w:w="2291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1B3C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1,448</w:t>
            </w:r>
          </w:p>
        </w:tc>
        <w:tc>
          <w:tcPr>
            <w:tcW w:w="2509" w:type="dxa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E023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43.8%</w:t>
            </w:r>
          </w:p>
        </w:tc>
      </w:tr>
    </w:tbl>
    <w:p w14:paraId="45122A43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Values are presented as n (%), with the denominator defined by the source state for each transition. The no-CRMM state includes participants with zero or one component disease. CM, CVD+T2D; CR, CVD+CKD; RM, T2D+CKD; Triple, all three component diseases.</w:t>
      </w:r>
    </w:p>
    <w:p w14:paraId="2BF5FAA0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S13. </w:t>
      </w:r>
      <w:r>
        <w:rPr>
          <w:rFonts w:ascii="Times New Roman" w:hAnsi="Times New Roman" w:eastAsia="Times New Roman" w:cs="Times New Roman"/>
          <w:sz w:val="20"/>
        </w:rPr>
        <w:t>Sensitivity analysis additionally adjusted for family history in UK Biobank, n = 367,040.</w:t>
      </w:r>
    </w:p>
    <w:tbl>
      <w:tblPr>
        <w:tblStyle w:val="33"/>
        <w:tblW w:w="10801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1309"/>
        <w:gridCol w:w="1691"/>
        <w:gridCol w:w="873"/>
        <w:gridCol w:w="1691"/>
        <w:gridCol w:w="873"/>
        <w:gridCol w:w="1691"/>
        <w:gridCol w:w="709"/>
      </w:tblGrid>
      <w:tr w14:paraId="2B77FF0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9C8C91">
            <w:pPr>
              <w:spacing w:before="0" w:after="0" w:line="240" w:lineRule="auto"/>
              <w:jc w:val="center"/>
            </w:pP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EC9523F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C64FD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Crude model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96C3C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Crude model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60FC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1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BBA65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D079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2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0BF06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2</w:t>
            </w:r>
          </w:p>
        </w:tc>
      </w:tr>
      <w:tr w14:paraId="112DF55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8014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Characteristic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AE95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Participants, n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A8F5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HR (95% CI)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D4D41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D85E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HR (95% CI)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BE80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4B86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HR (95% CI)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680F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</w:tr>
      <w:tr w14:paraId="4BD853B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B2A5CA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3306BA6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9E8D01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944711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77719A3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1F6079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C4EF21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16917E">
            <w:pPr>
              <w:spacing w:before="0" w:after="0" w:line="240" w:lineRule="auto"/>
              <w:jc w:val="center"/>
            </w:pPr>
          </w:p>
        </w:tc>
      </w:tr>
      <w:tr w14:paraId="0D2618E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1024C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6031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184,688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5D86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EE29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1CB2F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E864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669F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05FF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59B3521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961F4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F3A93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182,352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53D46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2.87 (2.79-2.96)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BCCD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2F44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2.38 (2.31-2.45)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73244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44310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2.31 (2.24-2.38)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CCC52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0A8B9E9E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61F52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07CCF5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4EDEBF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C41616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901586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966CC2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D6EF00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9B8009">
            <w:pPr>
              <w:spacing w:before="0" w:after="0" w:line="240" w:lineRule="auto"/>
              <w:jc w:val="center"/>
            </w:pPr>
          </w:p>
        </w:tc>
      </w:tr>
      <w:tr w14:paraId="58760E3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950C73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F79C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184,577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839BC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A00B4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29E2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9DFFD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19C1D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2E8A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398702F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40B77D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007D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182,463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8CBD85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4.55 (4.40-4.70)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37342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3D9B9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2.93 (2.83-3.03)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BBC4D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7AAA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2.49 (2.40-2.58)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E4D3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47BDC55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B89F42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AIP and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6696DDD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A8995E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107C12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749EF9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C038788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733469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AE8F56">
            <w:pPr>
              <w:spacing w:before="0" w:after="0" w:line="240" w:lineRule="auto"/>
              <w:jc w:val="center"/>
            </w:pPr>
          </w:p>
        </w:tc>
      </w:tr>
      <w:tr w14:paraId="6BC79E0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649429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 +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38BC7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111,780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46A0D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986F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9FF9D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E5876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2B9F0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4428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7ACCA68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06101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 +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7A325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72,797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8E3A5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2.54 (2.38-2.70)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053EA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477D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2.21 (2.08-2.35)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795EE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F667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2.31 (2.18-2.46)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E84C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5C17134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1DF1A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 +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FCB33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72,908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8004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4.31 (4.07-4.56)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278C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3D9D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2.73 (2.57-2.89)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C259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DD36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2.45 (2.31-2.59)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85B2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406648F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4CB2E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 +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5778B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109,555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3364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9.32 (8.86-9.81)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9F3B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AE08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5.84 (5.53-6.15)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790C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CE398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5.13 (4.86-5.41)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5A61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</w:tbl>
    <w:p w14:paraId="2F0A099E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UKB, UK Biobank; AIP, atherogenic index of plasma; eGDR, estimated glucose disposal rate; CRMM, cardio-renal-metabolic multimorbidity; HR, hazard ratio; CI, confidence interval.</w:t>
      </w:r>
    </w:p>
    <w:p w14:paraId="2F1FBCBB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Crude model: unadjusted. Model 1: adjusted for age and sex.</w:t>
      </w:r>
    </w:p>
    <w:p w14:paraId="6F980C9A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Model 2: adjusted for age, sex, race, Townsend deprivation index, education, smoking, alcohol intake, sleep duration, lipid-lowering medication use, LDL-C, CRP, and family history of cardiometabolic disease.</w:t>
      </w:r>
    </w:p>
    <w:p w14:paraId="20EE06F9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S14. </w:t>
      </w:r>
      <w:r>
        <w:rPr>
          <w:rFonts w:ascii="Times New Roman" w:hAnsi="Times New Roman" w:eastAsia="Times New Roman" w:cs="Times New Roman"/>
          <w:sz w:val="20"/>
        </w:rPr>
        <w:t>Sensitivity analysis additionally adjusted for glucose-lowering and antihypertensive medications, n = 392,835.</w:t>
      </w:r>
    </w:p>
    <w:tbl>
      <w:tblPr>
        <w:tblStyle w:val="33"/>
        <w:tblW w:w="10801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1309"/>
        <w:gridCol w:w="1691"/>
        <w:gridCol w:w="873"/>
        <w:gridCol w:w="1691"/>
        <w:gridCol w:w="873"/>
        <w:gridCol w:w="1691"/>
        <w:gridCol w:w="709"/>
      </w:tblGrid>
      <w:tr w14:paraId="1C53EDF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68E31DB">
            <w:pPr>
              <w:spacing w:before="0" w:after="0" w:line="240" w:lineRule="auto"/>
              <w:jc w:val="center"/>
            </w:pP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81B8F9F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61CA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Crude model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6A79D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Crude model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4164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1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B770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25E58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2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735A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2</w:t>
            </w:r>
          </w:p>
        </w:tc>
      </w:tr>
      <w:tr w14:paraId="33B1202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ADBD1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Characteristic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1049D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Participants, n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1EE46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HR (95% CI)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D1664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F184A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HR (95% CI)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F299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FEC1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HR (95% CI)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4171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</w:tr>
      <w:tr w14:paraId="68B909E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D2A686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EF33BA3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43B35B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448D6B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4F1EFCE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0897292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3FD48D8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E05F6A">
            <w:pPr>
              <w:spacing w:before="0" w:after="0" w:line="240" w:lineRule="auto"/>
              <w:jc w:val="center"/>
            </w:pPr>
          </w:p>
        </w:tc>
      </w:tr>
      <w:tr w14:paraId="7B987C1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BE873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5612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196,702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E189F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B5FF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E0E9E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D459C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A8638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33AD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178D052A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3DE25B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C5A05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196,133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4880F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2.84 (2.76-2.93)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2D934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1C1B3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2.35 (2.28-2.42)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EFFE6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36B2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2.27 (2.20-2.34)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F6F2F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0F23F58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0BCCB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BA3625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BBE7DB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BAA22A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EBE46B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A6E1CB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F310B94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795F6A5">
            <w:pPr>
              <w:spacing w:before="0" w:after="0" w:line="240" w:lineRule="auto"/>
              <w:jc w:val="center"/>
            </w:pPr>
          </w:p>
        </w:tc>
      </w:tr>
      <w:tr w14:paraId="27D4D342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8F10D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86B9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196,511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384DE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611B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76126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509FC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B30585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8B9B8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47FC0EB0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AB95D1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43564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196,324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F6D673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4.56 (4.42-4.71)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31E36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290D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2.93 (2.83-3.03)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F0DB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11360B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2.29 (2.21-2.37)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735E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0C6B9843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BCC61C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AIP and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ACF37ED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AA160E1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0E7326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16469B9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38ADDC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D72879E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DC9A92B">
            <w:pPr>
              <w:spacing w:before="0" w:after="0" w:line="240" w:lineRule="auto"/>
              <w:jc w:val="center"/>
            </w:pPr>
          </w:p>
        </w:tc>
      </w:tr>
      <w:tr w14:paraId="5B653D8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BCFA5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 +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DB9C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118,523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61CAC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50F1C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D56F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A1D1B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BF333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1C152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115C14B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F6709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 +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4AE1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77,988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AF05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2.54 (2.39-2.69)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6B1A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DC4F0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2.21 (2.08-2.34)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FD026E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F70DB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2.42 (2.28-2.57)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B04B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170D158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9279E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 +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5A93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78,179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7E0B6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4.37 (4.13-4.61)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D1DD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3C4F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2.75 (2.60-2.91)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CD4F3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7F0F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2.34 (2.21-2.48)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8840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7BDE6B6D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BFF8C5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 +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B8F8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118,145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41F0D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9.35 (8.89-9.82)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664C8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73A7C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5.82 (5.53-6.13)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6F885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71595B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4.81 (4.56-5.07)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21E9F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</w:tbl>
    <w:p w14:paraId="1ECC3E8B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UKB, UK Biobank; AIP, atherogenic index of plasma; eGDR, estimated glucose disposal rate; CRMM, cardio-renal-metabolic multimorbidity; HR, hazard ratio; CI, confidence interval.</w:t>
      </w:r>
    </w:p>
    <w:p w14:paraId="1C881D69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Crude model: unadjusted. Model 1: adjusted for age and sex.</w:t>
      </w:r>
    </w:p>
    <w:p w14:paraId="2CDD007D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Model 2: adjusted for age, sex, race, Townsend deprivation index, education, smoking, alcohol intake, sleep duration, lipid-lowering medication use, LDL-C, CRP, glucose-lowering medication use, and antihypertensive medication use.</w:t>
      </w:r>
    </w:p>
    <w:p w14:paraId="0763933D">
      <w:pPr>
        <w:keepNext/>
        <w:pageBreakBefore/>
        <w:spacing w:before="100" w:after="60" w:line="240" w:lineRule="auto"/>
      </w:pPr>
      <w:r>
        <w:rPr>
          <w:rFonts w:ascii="Times New Roman" w:hAnsi="Times New Roman" w:eastAsia="Times New Roman" w:cs="Times New Roman"/>
          <w:b/>
          <w:sz w:val="20"/>
        </w:rPr>
        <w:t xml:space="preserve">Table S15. </w:t>
      </w:r>
      <w:r>
        <w:rPr>
          <w:rFonts w:ascii="Times New Roman" w:hAnsi="Times New Roman" w:eastAsia="Times New Roman" w:cs="Times New Roman"/>
          <w:sz w:val="20"/>
        </w:rPr>
        <w:t>Fine-Gray competing-risk analysis for incident CRMM in UK Biobank, n = 394,483.</w:t>
      </w:r>
    </w:p>
    <w:tbl>
      <w:tblPr>
        <w:tblStyle w:val="33"/>
        <w:tblW w:w="10801" w:type="dxa"/>
        <w:jc w:val="center"/>
        <w:tblBorders>
          <w:top w:val="single" w:color="000000" w:sz="8" w:space="0"/>
          <w:left w:val="single" w:color="000000" w:sz="4" w:space="0"/>
          <w:bottom w:val="single" w:color="000000" w:sz="8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1309"/>
        <w:gridCol w:w="1691"/>
        <w:gridCol w:w="873"/>
        <w:gridCol w:w="1691"/>
        <w:gridCol w:w="873"/>
        <w:gridCol w:w="1691"/>
        <w:gridCol w:w="709"/>
      </w:tblGrid>
      <w:tr w14:paraId="650F89D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2143400">
            <w:pPr>
              <w:spacing w:before="0" w:after="0" w:line="240" w:lineRule="auto"/>
              <w:jc w:val="center"/>
            </w:pP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1B9741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986556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Crude model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864F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Crude model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8B790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1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52A89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BE0E0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2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021C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Model 2</w:t>
            </w:r>
          </w:p>
        </w:tc>
      </w:tr>
      <w:tr w14:paraId="3553E6B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0281E2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Characteristic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1898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Participants, n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A7EF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SHR (95% CI)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5891E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7560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SHR (95% CI)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0FF4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16B8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SHR (95% CI)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B5323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/>
                <w:sz w:val="13"/>
              </w:rPr>
              <w:t>P value</w:t>
            </w:r>
          </w:p>
        </w:tc>
      </w:tr>
      <w:tr w14:paraId="59E6A645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C6843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0CB49B6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1D79E37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DD6850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3F7B814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5DAA23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54D682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B6123D">
            <w:pPr>
              <w:spacing w:before="0" w:after="0" w:line="240" w:lineRule="auto"/>
              <w:jc w:val="center"/>
            </w:pPr>
          </w:p>
        </w:tc>
      </w:tr>
      <w:tr w14:paraId="684BDC5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85858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5F50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197,241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CA2DF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61937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D6386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E35BF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F0846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B87EA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0788DC21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51AEF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5B1B8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197,242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DF877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2.80 (2.72-2.88)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02E5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3216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2.34 (2.27-2.41)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E9557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4904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2.31 (2.24-2.39)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65009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146BDBA4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8718EB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7BF8B0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A00505A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917736C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3B3D132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6D58A2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EE273B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863B6E3">
            <w:pPr>
              <w:spacing w:before="0" w:after="0" w:line="240" w:lineRule="auto"/>
              <w:jc w:val="center"/>
            </w:pPr>
          </w:p>
        </w:tc>
      </w:tr>
      <w:tr w14:paraId="5D02A3B6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D5DD6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9B5C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197,242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6287D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A560D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5A24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72F04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1D7DE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189580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48FEB248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94F6C8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703A1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197,241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154D4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4.42 (4.28-4.57)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E7290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C2929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2.90 (2.81-3.00)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3CA6E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BDAC2A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2.53 (2.44-2.62)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26A74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515B22AB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E0A4B3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13"/>
              </w:rPr>
              <w:t>AIP and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F4BD19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707376F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AE65E84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2C4A27A">
            <w:pPr>
              <w:spacing w:before="0" w:after="0" w:line="240" w:lineRule="auto"/>
              <w:jc w:val="center"/>
            </w:pP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9A08D3">
            <w:pPr>
              <w:spacing w:before="0" w:after="0" w:line="240" w:lineRule="auto"/>
              <w:jc w:val="center"/>
            </w:pP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C514CB7">
            <w:pPr>
              <w:spacing w:before="0" w:after="0" w:line="240" w:lineRule="auto"/>
              <w:jc w:val="center"/>
            </w:pP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5F8B597">
            <w:pPr>
              <w:spacing w:before="0" w:after="0" w:line="240" w:lineRule="auto"/>
              <w:jc w:val="center"/>
            </w:pPr>
          </w:p>
        </w:tc>
      </w:tr>
      <w:tr w14:paraId="491E3B2C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04DD88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 +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78AE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118,811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1BDD2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A3BAB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39A6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4A6A8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AACE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1.00 (Ref)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BC3FF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-</w:t>
            </w:r>
          </w:p>
        </w:tc>
      </w:tr>
      <w:tr w14:paraId="7F03BA27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D0DFB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 + High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322B2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78,431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51DA5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2.50 (2.36-2.66)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56C4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14C421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2.20 (2.07-2.33)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34320B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14C2A8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2.35 (2.21-2.50)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20899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2CF2C44F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4D09740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Low AIP +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B55F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78,430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F1D90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4.23 (4.00-4.46)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C37F1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942A5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2.73 (2.58-2.89)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CD7BD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B99CF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2.51 (2.37-2.65)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6BDDD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  <w:tr w14:paraId="0412D719">
        <w:tblPrEx>
          <w:tblBorders>
            <w:top w:val="single" w:color="000000" w:sz="8" w:space="0"/>
            <w:left w:val="single" w:color="000000" w:sz="4" w:space="0"/>
            <w:bottom w:val="single" w:color="000000" w:sz="8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861E56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sz w:val="13"/>
              </w:rPr>
              <w:t xml:space="preserve">  High AIP + Low eGDR</w:t>
            </w:r>
          </w:p>
        </w:tc>
        <w:tc>
          <w:tcPr>
            <w:tcW w:w="13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EABD24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118,811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0ADD6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8.98 (8.55-9.43)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27FA04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3D8A55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5.75 (5.46-6.05)</w:t>
            </w:r>
          </w:p>
        </w:tc>
        <w:tc>
          <w:tcPr>
            <w:tcW w:w="8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F01AF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  <w:tc>
          <w:tcPr>
            <w:tcW w:w="16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B866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5.23 (4.96-5.52)</w:t>
            </w:r>
          </w:p>
        </w:tc>
        <w:tc>
          <w:tcPr>
            <w:tcW w:w="7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33E32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13"/>
              </w:rPr>
              <w:t>&lt;0.001</w:t>
            </w:r>
          </w:p>
        </w:tc>
      </w:tr>
    </w:tbl>
    <w:p w14:paraId="61D27A4D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Abbreviations: AIP, atherogenic index of plasma; CHARLS, China Health and Retirement Longitudinal Study; CI, confidence interval; CRMM, cardio-renal-metabolic multimorbidity; eGDR, estimated glucose disposal rate; SHR, subdistribution hazard ratio; UKB, UK Biobank. Fine-Gray models treated death before CRMM as a competing event.</w:t>
      </w:r>
    </w:p>
    <w:p w14:paraId="62AAD0DA">
      <w:pPr>
        <w:spacing w:before="20" w:after="20" w:line="240" w:lineRule="auto"/>
      </w:pPr>
      <w:r>
        <w:rPr>
          <w:rFonts w:ascii="Times New Roman" w:hAnsi="Times New Roman" w:eastAsia="Times New Roman" w:cs="Times New Roman"/>
          <w:sz w:val="17"/>
        </w:rPr>
        <w:t>Crude model: unadjusted Fine-Gray model. Model 1: Fine-Gray model adjusted for age and sex. Model 2: Fine-Gray model adjusted for age, sex, race, Townsend deprivation index, education, smoking, alcohol intake, sleep duration, lipid-lowering medication use, LDL-C, and CRP. Non-CRMM death was treated as the competing event in all models.</w:t>
      </w:r>
    </w:p>
    <w:sectPr>
      <w:footerReference r:id="rId5" w:type="default"/>
      <w:pgSz w:w="12240" w:h="15840"/>
      <w:pgMar w:top="792" w:right="720" w:bottom="792" w:left="720" w:header="288" w:footer="28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A8B71">
    <w:pPr>
      <w:spacing w:before="0" w:after="0"/>
      <w:jc w:val="center"/>
    </w:pPr>
    <w:r>
      <w:rPr>
        <w:rFonts w:ascii="Times New Roman" w:hAnsi="Times New Roman" w:eastAsia="Times New Roman" w:cs="Times New Roman"/>
        <w:sz w:val="16"/>
      </w:rPr>
      <w:t xml:space="preserve">Additional file 1  |  </w:t>
    </w:r>
    <w:r>
      <w:rPr>
        <w:rFonts w:ascii="Times New Roman" w:hAnsi="Times New Roman" w:eastAsia="Times New Roman" w:cs="Times New Roman"/>
        <w:sz w:val="16"/>
      </w:rPr>
      <w:fldChar w:fldCharType="begin"/>
    </w:r>
    <w:r>
      <w:rPr>
        <w:rFonts w:ascii="Times New Roman" w:hAnsi="Times New Roman" w:eastAsia="Times New Roman" w:cs="Times New Roman"/>
        <w:sz w:val="16"/>
      </w:rPr>
      <w:instrText xml:space="preserve"> PAGE </w:instrText>
    </w:r>
    <w:r>
      <w:rPr>
        <w:rFonts w:ascii="Times New Roman" w:hAnsi="Times New Roman" w:eastAsia="Times New Roman" w:cs="Times New Roman"/>
        <w:sz w:val="16"/>
      </w:rPr>
      <w:fldChar w:fldCharType="separate"/>
    </w:r>
    <w:r>
      <w:rPr>
        <w:rFonts w:ascii="Times New Roman" w:hAnsi="Times New Roman" w:eastAsia="Times New Roman" w:cs="Times New Roman"/>
        <w:sz w:val="16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7237"/>
    <w:rsid w:val="001D3978"/>
    <w:rsid w:val="0029639D"/>
    <w:rsid w:val="00326F90"/>
    <w:rsid w:val="00426ABA"/>
    <w:rsid w:val="00AA1D8D"/>
    <w:rsid w:val="00B47730"/>
    <w:rsid w:val="00CB0664"/>
    <w:rsid w:val="00FC693F"/>
    <w:rsid w:val="011E0236"/>
    <w:rsid w:val="481A4254"/>
    <w:rsid w:val="65393821"/>
    <w:rsid w:val="7AB6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color w:val="000000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2323</Words>
  <Characters>13262</Characters>
  <Lines>200</Lines>
  <Paragraphs>56</Paragraphs>
  <TotalTime>2</TotalTime>
  <ScaleCrop>false</ScaleCrop>
  <LinksUpToDate>false</LinksUpToDate>
  <CharactersWithSpaces>14978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蓝墨水上的行者</cp:lastModifiedBy>
  <dcterms:modified xsi:type="dcterms:W3CDTF">2026-09-02T14:51:34Z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E3E03928FBB546C1ADEFBCE1CB45B2FC_13</vt:lpwstr>
  </property>
  <property fmtid="{D5CDD505-2E9C-101B-9397-08002B2CF9AE}" pid="4" name="KSOTemplateDocerSaveRecord">
    <vt:lpwstr>eyJoZGlkIjoiNmYyZjYwM2QyZGMzNDYyYTE3YjQ1ZTQzOTliODcyYTgiLCJ1c2VySWQiOiI0NTE4OTY0ODUifQ==</vt:lpwstr>
  </property>
</Properties>
</file>