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381C08">
      <w:pPr>
        <w:spacing w:after="80" w:line="240" w:lineRule="auto"/>
      </w:pPr>
      <w:r>
        <w:rPr>
          <w:rFonts w:ascii="Times New Roman" w:hAnsi="Times New Roman" w:eastAsia="Times New Roman"/>
          <w:b/>
          <w:i w:val="0"/>
          <w:sz w:val="30"/>
        </w:rPr>
        <w:t>Supplementary Information</w:t>
      </w:r>
    </w:p>
    <w:p w14:paraId="70E075CF">
      <w:pPr>
        <w:spacing w:after="80" w:line="240" w:lineRule="auto"/>
      </w:pPr>
      <w:r>
        <w:rPr>
          <w:rFonts w:ascii="Times New Roman" w:hAnsi="Times New Roman" w:eastAsia="Times New Roman"/>
          <w:b w:val="0"/>
          <w:i w:val="0"/>
          <w:sz w:val="21"/>
        </w:rPr>
        <w:t>for</w:t>
      </w:r>
    </w:p>
    <w:p w14:paraId="052FA6A6">
      <w:pPr>
        <w:spacing w:after="160"/>
      </w:pPr>
      <w:r>
        <w:rPr>
          <w:rFonts w:ascii="Times New Roman" w:hAnsi="Times New Roman"/>
          <w:i/>
          <w:sz w:val="24"/>
        </w:rPr>
        <w:t>Digital Scene Construction Method for Bridge Construction Based on Pan-Spatial Information System</w:t>
      </w:r>
    </w:p>
    <w:p w14:paraId="1BDCD01B">
      <w:pPr>
        <w:spacing w:after="40" w:line="240" w:lineRule="auto"/>
      </w:pPr>
      <w:r>
        <w:rPr>
          <w:rFonts w:ascii="Times New Roman" w:hAnsi="Times New Roman" w:eastAsia="Times New Roman"/>
          <w:b w:val="0"/>
          <w:i w:val="0"/>
          <w:sz w:val="20"/>
        </w:rPr>
        <w:t>Yongwei Wang</w:t>
      </w:r>
      <w:r>
        <w:rPr>
          <w:rFonts w:ascii="Times New Roman" w:hAnsi="Times New Roman" w:eastAsia="Times New Roman"/>
          <w:b w:val="0"/>
          <w:i w:val="0"/>
          <w:sz w:val="20"/>
          <w:vertAlign w:val="superscript"/>
        </w:rPr>
        <w:t>1,2*</w:t>
      </w:r>
      <w:r>
        <w:rPr>
          <w:rFonts w:ascii="Times New Roman" w:hAnsi="Times New Roman" w:eastAsia="Times New Roman"/>
          <w:b w:val="0"/>
          <w:i w:val="0"/>
          <w:sz w:val="20"/>
        </w:rPr>
        <w:t>, Yongtao Zhang</w:t>
      </w:r>
      <w:r>
        <w:rPr>
          <w:rFonts w:ascii="Times New Roman" w:hAnsi="Times New Roman" w:eastAsia="Times New Roman"/>
          <w:b w:val="0"/>
          <w:i w:val="0"/>
          <w:sz w:val="20"/>
          <w:vertAlign w:val="superscript"/>
        </w:rPr>
        <w:t>1,2</w:t>
      </w:r>
      <w:r>
        <w:rPr>
          <w:rFonts w:ascii="Times New Roman" w:hAnsi="Times New Roman" w:eastAsia="Times New Roman"/>
          <w:b w:val="0"/>
          <w:i w:val="0"/>
          <w:sz w:val="20"/>
        </w:rPr>
        <w:t>, Can Huang</w:t>
      </w:r>
      <w:r>
        <w:rPr>
          <w:rFonts w:ascii="Times New Roman" w:hAnsi="Times New Roman" w:eastAsia="Times New Roman"/>
          <w:b w:val="0"/>
          <w:i w:val="0"/>
          <w:sz w:val="20"/>
          <w:vertAlign w:val="superscript"/>
        </w:rPr>
        <w:t>1,2</w:t>
      </w:r>
      <w:r>
        <w:rPr>
          <w:rFonts w:ascii="Times New Roman" w:hAnsi="Times New Roman" w:eastAsia="Times New Roman"/>
          <w:b w:val="0"/>
          <w:i w:val="0"/>
          <w:sz w:val="20"/>
        </w:rPr>
        <w:t>, Yuan Chen</w:t>
      </w:r>
      <w:r>
        <w:rPr>
          <w:rFonts w:ascii="Times New Roman" w:hAnsi="Times New Roman" w:eastAsia="Times New Roman"/>
          <w:b w:val="0"/>
          <w:i w:val="0"/>
          <w:sz w:val="20"/>
          <w:vertAlign w:val="superscript"/>
        </w:rPr>
        <w:t>1</w:t>
      </w:r>
      <w:r>
        <w:rPr>
          <w:rFonts w:ascii="Times New Roman" w:hAnsi="Times New Roman" w:eastAsia="Times New Roman"/>
          <w:b w:val="0"/>
          <w:i w:val="0"/>
          <w:sz w:val="20"/>
        </w:rPr>
        <w:t>, Yakun Xie</w:t>
      </w:r>
      <w:r>
        <w:rPr>
          <w:rFonts w:ascii="Times New Roman" w:hAnsi="Times New Roman" w:eastAsia="Times New Roman"/>
          <w:b w:val="0"/>
          <w:i w:val="0"/>
          <w:sz w:val="20"/>
          <w:vertAlign w:val="superscript"/>
        </w:rPr>
        <w:t>3</w:t>
      </w:r>
      <w:r>
        <w:rPr>
          <w:rFonts w:ascii="Times New Roman" w:hAnsi="Times New Roman" w:eastAsia="Times New Roman"/>
          <w:b w:val="0"/>
          <w:i w:val="0"/>
          <w:sz w:val="20"/>
        </w:rPr>
        <w:t>, Xiankai Xue</w:t>
      </w:r>
      <w:r>
        <w:rPr>
          <w:rFonts w:ascii="Times New Roman" w:hAnsi="Times New Roman" w:eastAsia="Times New Roman"/>
          <w:b w:val="0"/>
          <w:i w:val="0"/>
          <w:sz w:val="20"/>
          <w:vertAlign w:val="superscript"/>
        </w:rPr>
        <w:t>1</w:t>
      </w:r>
    </w:p>
    <w:p w14:paraId="602DF622">
      <w:pPr>
        <w:spacing w:after="40" w:line="240" w:lineRule="auto"/>
      </w:pPr>
      <w:r>
        <w:rPr>
          <w:rFonts w:ascii="Times New Roman" w:hAnsi="Times New Roman" w:eastAsia="Times New Roman"/>
          <w:b w:val="0"/>
          <w:i w:val="0"/>
          <w:sz w:val="18"/>
        </w:rPr>
        <w:t>1. CCCC Second Harbor Engineering Co., Ltd., Wuhan 430040, China; 2. Key Laboratory of Large-Span Bridge Construction Technology, Wuhan 430040, China; 3. School of Earth Sciences and Engineering, Southwest Jiaotong University, Chengdu 611756, China</w:t>
      </w:r>
      <w:bookmarkStart w:id="0" w:name="_GoBack"/>
      <w:bookmarkEnd w:id="0"/>
    </w:p>
    <w:p w14:paraId="2D8B38ED">
      <w:pPr>
        <w:spacing w:after="280" w:line="240" w:lineRule="auto"/>
      </w:pPr>
      <w:r>
        <w:rPr>
          <w:rFonts w:ascii="Times New Roman" w:hAnsi="Times New Roman" w:eastAsia="Times New Roman"/>
          <w:b w:val="0"/>
          <w:i w:val="0"/>
          <w:sz w:val="18"/>
        </w:rPr>
        <w:t>*Corresponding author: wangyongwei@ccccltd.cn</w:t>
      </w:r>
    </w:p>
    <w:p w14:paraId="5A39473A">
      <w:pPr>
        <w:spacing w:before="240" w:after="120"/>
      </w:pPr>
      <w:r>
        <w:rPr>
          <w:rFonts w:ascii="Times New Roman" w:hAnsi="Times New Roman" w:eastAsia="Times New Roman"/>
          <w:b/>
          <w:sz w:val="24"/>
        </w:rPr>
        <w:t>S1. Overview of the illustrative scenario</w:t>
      </w:r>
    </w:p>
    <w:p w14:paraId="49C823B9">
      <w:pPr>
        <w:spacing w:after="160" w:line="240" w:lineRule="auto"/>
      </w:pPr>
      <w:r>
        <w:rPr>
          <w:rFonts w:ascii="Times New Roman" w:hAnsi="Times New Roman" w:eastAsia="Times New Roman"/>
          <w:b w:val="0"/>
          <w:i w:val="0"/>
          <w:sz w:val="21"/>
        </w:rPr>
        <w:t>The illustrative scenario described in Section “Illustrative application” of the main text is a constructed example of the pier body construction stage of a medium-scale cable-stayed bridge, denoted as Bridge-Project-2024; it is designed to demonstrate the application of the proposed method and does not correspond to any specific real engineering project. The main construction activities in this stage include steel bar binding, formwork installation, concrete pouring and curing of the pier body segments; a tower crane (TC-01) and a concrete pump truck (CPT-01) serve as the main equipment, and anemometers and strain gauges are deployed on the pier for real-time monitoring. This supplementary file provides the data generated and analysed in this scenario: the registry of instantiated spatio-temporal objects (S2), the formalized description instances of the key objects (S3), a sample of the dynamic attribute data streams involved in the wind speed early warning event (S4), and the basis of the comparative analysis reported in Table 2 of the main text (S5).</w:t>
      </w:r>
    </w:p>
    <w:p w14:paraId="7F015A20">
      <w:pPr>
        <w:spacing w:after="160" w:line="240" w:lineRule="auto"/>
      </w:pPr>
      <w:r>
        <w:rPr>
          <w:rFonts w:ascii="Times New Roman" w:hAnsi="Times New Roman" w:eastAsia="Times New Roman"/>
          <w:b w:val="0"/>
          <w:i w:val="0"/>
          <w:sz w:val="21"/>
        </w:rPr>
        <w:t>All object identifiers follow the naming rules commonly used on bridge construction project data platforms. All parameter values are hypothetical but set within engineering-plausible ranges, and are consistent with the examples given in the main text.</w:t>
      </w:r>
    </w:p>
    <w:p w14:paraId="375E3F2C">
      <w:pPr>
        <w:spacing w:before="240" w:after="120"/>
      </w:pPr>
      <w:r>
        <w:rPr>
          <w:rFonts w:ascii="Times New Roman" w:hAnsi="Times New Roman" w:eastAsia="Times New Roman"/>
          <w:b/>
          <w:sz w:val="24"/>
        </w:rPr>
        <w:t>S2. Registry of instantiated spatio-temporal objects</w:t>
      </w:r>
    </w:p>
    <w:p w14:paraId="057359E5">
      <w:pPr>
        <w:spacing w:after="80" w:line="240" w:lineRule="auto"/>
      </w:pPr>
      <w:r>
        <w:rPr>
          <w:rFonts w:ascii="Times New Roman" w:hAnsi="Times New Roman" w:eastAsia="Times New Roman"/>
          <w:b/>
          <w:i w:val="0"/>
          <w:sz w:val="20"/>
        </w:rPr>
        <w:t>Table S1. Instantiation of spatio-temporal objects in the pier construction stage (extended from Table 1 of the main text).</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1824"/>
        <w:gridCol w:w="2403"/>
        <w:gridCol w:w="1500"/>
        <w:gridCol w:w="1935"/>
      </w:tblGrid>
      <w:tr w14:paraId="1B660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14:paraId="332F5CCC">
            <w:pPr>
              <w:spacing w:after="40" w:line="240" w:lineRule="auto"/>
            </w:pPr>
            <w:r>
              <w:rPr>
                <w:rFonts w:ascii="Times New Roman" w:hAnsi="Times New Roman" w:eastAsia="Times New Roman"/>
                <w:b/>
                <w:sz w:val="18"/>
              </w:rPr>
              <w:t>Object category</w:t>
            </w:r>
          </w:p>
        </w:tc>
        <w:tc>
          <w:tcPr>
            <w:tcW w:w="1928" w:type="dxa"/>
          </w:tcPr>
          <w:p w14:paraId="1AB90ECC">
            <w:pPr>
              <w:spacing w:after="40" w:line="240" w:lineRule="auto"/>
            </w:pPr>
            <w:r>
              <w:rPr>
                <w:rFonts w:ascii="Times New Roman" w:hAnsi="Times New Roman" w:eastAsia="Times New Roman"/>
                <w:b/>
                <w:sz w:val="18"/>
              </w:rPr>
              <w:t>Instance ID</w:t>
            </w:r>
          </w:p>
        </w:tc>
        <w:tc>
          <w:tcPr>
            <w:tcW w:w="2608" w:type="dxa"/>
          </w:tcPr>
          <w:p w14:paraId="4E4A87C6">
            <w:pPr>
              <w:spacing w:after="40" w:line="240" w:lineRule="auto"/>
            </w:pPr>
            <w:r>
              <w:rPr>
                <w:rFonts w:ascii="Times New Roman" w:hAnsi="Times New Roman" w:eastAsia="Times New Roman"/>
                <w:b/>
                <w:sz w:val="18"/>
              </w:rPr>
              <w:t>Instantiated object</w:t>
            </w:r>
          </w:p>
        </w:tc>
        <w:tc>
          <w:tcPr>
            <w:tcW w:w="1587" w:type="dxa"/>
          </w:tcPr>
          <w:p w14:paraId="275703AF">
            <w:pPr>
              <w:spacing w:after="40" w:line="240" w:lineRule="auto"/>
            </w:pPr>
            <w:r>
              <w:rPr>
                <w:rFonts w:ascii="Times New Roman" w:hAnsi="Times New Roman" w:eastAsia="Times New Roman"/>
                <w:b/>
                <w:sz w:val="18"/>
              </w:rPr>
              <w:t>Key features populated</w:t>
            </w:r>
          </w:p>
        </w:tc>
        <w:tc>
          <w:tcPr>
            <w:tcW w:w="2041" w:type="dxa"/>
          </w:tcPr>
          <w:p w14:paraId="23E6F5F6">
            <w:pPr>
              <w:spacing w:after="40" w:line="240" w:lineRule="auto"/>
            </w:pPr>
            <w:r>
              <w:rPr>
                <w:rFonts w:ascii="Times New Roman" w:hAnsi="Times New Roman" w:eastAsia="Times New Roman"/>
                <w:b/>
                <w:sz w:val="18"/>
              </w:rPr>
              <w:t>Data source</w:t>
            </w:r>
          </w:p>
        </w:tc>
      </w:tr>
      <w:tr w14:paraId="5C4C2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14:paraId="038A6E40">
            <w:pPr>
              <w:spacing w:after="40" w:line="240" w:lineRule="auto"/>
            </w:pPr>
            <w:r>
              <w:rPr>
                <w:rFonts w:ascii="Times New Roman" w:hAnsi="Times New Roman" w:eastAsia="Times New Roman"/>
                <w:sz w:val="18"/>
              </w:rPr>
              <w:t>Bridge components</w:t>
            </w:r>
          </w:p>
        </w:tc>
        <w:tc>
          <w:tcPr>
            <w:tcW w:w="1928" w:type="dxa"/>
          </w:tcPr>
          <w:p w14:paraId="257130D6">
            <w:pPr>
              <w:spacing w:after="40" w:line="240" w:lineRule="auto"/>
            </w:pPr>
            <w:r>
              <w:rPr>
                <w:rFonts w:ascii="Times New Roman" w:hAnsi="Times New Roman" w:eastAsia="Times New Roman"/>
                <w:sz w:val="18"/>
              </w:rPr>
              <w:t>Pier-Abutment-1</w:t>
            </w:r>
          </w:p>
        </w:tc>
        <w:tc>
          <w:tcPr>
            <w:tcW w:w="2608" w:type="dxa"/>
          </w:tcPr>
          <w:p w14:paraId="60DAD21F">
            <w:pPr>
              <w:spacing w:after="40" w:line="240" w:lineRule="auto"/>
            </w:pPr>
            <w:r>
              <w:rPr>
                <w:rFonts w:ascii="Times New Roman" w:hAnsi="Times New Roman" w:eastAsia="Times New Roman"/>
                <w:sz w:val="18"/>
              </w:rPr>
              <w:t>Pier body segment of Abutment-1 (cushion cap, pier body, bent cap)</w:t>
            </w:r>
          </w:p>
        </w:tc>
        <w:tc>
          <w:tcPr>
            <w:tcW w:w="1587" w:type="dxa"/>
          </w:tcPr>
          <w:p w14:paraId="6B288B97">
            <w:pPr>
              <w:spacing w:after="40" w:line="240" w:lineRule="auto"/>
            </w:pPr>
            <w:r>
              <w:rPr>
                <w:rFonts w:ascii="Times New Roman" w:hAnsi="Times New Roman" w:eastAsia="Times New Roman"/>
                <w:sz w:val="18"/>
              </w:rPr>
              <w:t>SR, SP, CS, AT</w:t>
            </w:r>
          </w:p>
        </w:tc>
        <w:tc>
          <w:tcPr>
            <w:tcW w:w="2041" w:type="dxa"/>
          </w:tcPr>
          <w:p w14:paraId="03295660">
            <w:pPr>
              <w:spacing w:after="40" w:line="240" w:lineRule="auto"/>
            </w:pPr>
            <w:r>
              <w:rPr>
                <w:rFonts w:ascii="Times New Roman" w:hAnsi="Times New Roman" w:eastAsia="Times New Roman"/>
                <w:sz w:val="18"/>
              </w:rPr>
              <w:t>Design drawings, BIM model</w:t>
            </w:r>
          </w:p>
        </w:tc>
      </w:tr>
      <w:tr w14:paraId="630BB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14:paraId="3B385696">
            <w:pPr>
              <w:spacing w:after="40" w:line="240" w:lineRule="auto"/>
            </w:pPr>
            <w:r>
              <w:rPr>
                <w:rFonts w:ascii="Times New Roman" w:hAnsi="Times New Roman" w:eastAsia="Times New Roman"/>
                <w:sz w:val="18"/>
              </w:rPr>
              <w:t>Workers</w:t>
            </w:r>
          </w:p>
        </w:tc>
        <w:tc>
          <w:tcPr>
            <w:tcW w:w="1928" w:type="dxa"/>
          </w:tcPr>
          <w:p w14:paraId="70D0AF59">
            <w:pPr>
              <w:spacing w:after="40" w:line="240" w:lineRule="auto"/>
            </w:pPr>
            <w:r>
              <w:rPr>
                <w:rFonts w:ascii="Times New Roman" w:hAnsi="Times New Roman" w:eastAsia="Times New Roman"/>
                <w:sz w:val="18"/>
              </w:rPr>
              <w:t>Worker-SB-01–06; Worker-FW-01–04; Engineer-SE-01</w:t>
            </w:r>
          </w:p>
        </w:tc>
        <w:tc>
          <w:tcPr>
            <w:tcW w:w="2608" w:type="dxa"/>
          </w:tcPr>
          <w:p w14:paraId="43AB9076">
            <w:pPr>
              <w:spacing w:after="40" w:line="240" w:lineRule="auto"/>
            </w:pPr>
            <w:r>
              <w:rPr>
                <w:rFonts w:ascii="Times New Roman" w:hAnsi="Times New Roman" w:eastAsia="Times New Roman"/>
                <w:sz w:val="18"/>
              </w:rPr>
              <w:t>Steel bar workers, formwork workers, site engineer</w:t>
            </w:r>
          </w:p>
        </w:tc>
        <w:tc>
          <w:tcPr>
            <w:tcW w:w="1587" w:type="dxa"/>
          </w:tcPr>
          <w:p w14:paraId="7F604804">
            <w:pPr>
              <w:spacing w:after="40" w:line="240" w:lineRule="auto"/>
            </w:pPr>
            <w:r>
              <w:rPr>
                <w:rFonts w:ascii="Times New Roman" w:hAnsi="Times New Roman" w:eastAsia="Times New Roman"/>
                <w:sz w:val="18"/>
              </w:rPr>
              <w:t>CI, BA, AT</w:t>
            </w:r>
          </w:p>
        </w:tc>
        <w:tc>
          <w:tcPr>
            <w:tcW w:w="2041" w:type="dxa"/>
          </w:tcPr>
          <w:p w14:paraId="0D4EAFF2">
            <w:pPr>
              <w:spacing w:after="40" w:line="240" w:lineRule="auto"/>
            </w:pPr>
            <w:r>
              <w:rPr>
                <w:rFonts w:ascii="Times New Roman" w:hAnsi="Times New Roman" w:eastAsia="Times New Roman"/>
                <w:sz w:val="18"/>
              </w:rPr>
              <w:t>Personnel management system</w:t>
            </w:r>
          </w:p>
        </w:tc>
      </w:tr>
      <w:tr w14:paraId="61E7E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14:paraId="10EB62AE">
            <w:pPr>
              <w:spacing w:after="40" w:line="240" w:lineRule="auto"/>
            </w:pPr>
            <w:r>
              <w:rPr>
                <w:rFonts w:ascii="Times New Roman" w:hAnsi="Times New Roman" w:eastAsia="Times New Roman"/>
                <w:sz w:val="18"/>
              </w:rPr>
              <w:t>Machinery and equipment</w:t>
            </w:r>
          </w:p>
        </w:tc>
        <w:tc>
          <w:tcPr>
            <w:tcW w:w="1928" w:type="dxa"/>
          </w:tcPr>
          <w:p w14:paraId="5494B176">
            <w:pPr>
              <w:spacing w:after="40" w:line="240" w:lineRule="auto"/>
            </w:pPr>
            <w:r>
              <w:rPr>
                <w:rFonts w:ascii="Times New Roman" w:hAnsi="Times New Roman" w:eastAsia="Times New Roman"/>
                <w:sz w:val="18"/>
              </w:rPr>
              <w:t>TC-01; CPT-01</w:t>
            </w:r>
          </w:p>
        </w:tc>
        <w:tc>
          <w:tcPr>
            <w:tcW w:w="2608" w:type="dxa"/>
          </w:tcPr>
          <w:p w14:paraId="3C0348E6">
            <w:pPr>
              <w:spacing w:after="40" w:line="240" w:lineRule="auto"/>
            </w:pPr>
            <w:r>
              <w:rPr>
                <w:rFonts w:ascii="Times New Roman" w:hAnsi="Times New Roman" w:eastAsia="Times New Roman"/>
                <w:sz w:val="18"/>
              </w:rPr>
              <w:t>Tower crane, concrete pump truck</w:t>
            </w:r>
          </w:p>
        </w:tc>
        <w:tc>
          <w:tcPr>
            <w:tcW w:w="1587" w:type="dxa"/>
          </w:tcPr>
          <w:p w14:paraId="47E5C6BE">
            <w:pPr>
              <w:spacing w:after="40" w:line="240" w:lineRule="auto"/>
            </w:pPr>
            <w:r>
              <w:rPr>
                <w:rFonts w:ascii="Times New Roman" w:hAnsi="Times New Roman" w:eastAsia="Times New Roman"/>
                <w:sz w:val="18"/>
              </w:rPr>
              <w:t>SP, BA, AT</w:t>
            </w:r>
          </w:p>
        </w:tc>
        <w:tc>
          <w:tcPr>
            <w:tcW w:w="2041" w:type="dxa"/>
          </w:tcPr>
          <w:p w14:paraId="6173264B">
            <w:pPr>
              <w:spacing w:after="40" w:line="240" w:lineRule="auto"/>
            </w:pPr>
            <w:r>
              <w:rPr>
                <w:rFonts w:ascii="Times New Roman" w:hAnsi="Times New Roman" w:eastAsia="Times New Roman"/>
                <w:sz w:val="18"/>
              </w:rPr>
              <w:t>Equipment IoT platform</w:t>
            </w:r>
          </w:p>
        </w:tc>
      </w:tr>
      <w:tr w14:paraId="3F9DD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14:paraId="5A1120AF">
            <w:pPr>
              <w:spacing w:after="40" w:line="240" w:lineRule="auto"/>
            </w:pPr>
            <w:r>
              <w:rPr>
                <w:rFonts w:ascii="Times New Roman" w:hAnsi="Times New Roman" w:eastAsia="Times New Roman"/>
                <w:sz w:val="18"/>
              </w:rPr>
              <w:t>Bridge site environment</w:t>
            </w:r>
          </w:p>
        </w:tc>
        <w:tc>
          <w:tcPr>
            <w:tcW w:w="1928" w:type="dxa"/>
          </w:tcPr>
          <w:p w14:paraId="4657FC95">
            <w:pPr>
              <w:spacing w:after="40" w:line="240" w:lineRule="auto"/>
            </w:pPr>
            <w:r>
              <w:rPr>
                <w:rFonts w:ascii="Times New Roman" w:hAnsi="Times New Roman" w:eastAsia="Times New Roman"/>
                <w:sz w:val="18"/>
              </w:rPr>
              <w:t>ENV-Site-01</w:t>
            </w:r>
          </w:p>
        </w:tc>
        <w:tc>
          <w:tcPr>
            <w:tcW w:w="2608" w:type="dxa"/>
          </w:tcPr>
          <w:p w14:paraId="5DC978E1">
            <w:pPr>
              <w:spacing w:after="40" w:line="240" w:lineRule="auto"/>
            </w:pPr>
            <w:r>
              <w:rPr>
                <w:rFonts w:ascii="Times New Roman" w:hAnsi="Times New Roman" w:eastAsia="Times New Roman"/>
                <w:sz w:val="18"/>
              </w:rPr>
              <w:t>Wind speed, temperature and humidity at the site</w:t>
            </w:r>
          </w:p>
        </w:tc>
        <w:tc>
          <w:tcPr>
            <w:tcW w:w="1587" w:type="dxa"/>
          </w:tcPr>
          <w:p w14:paraId="14F8E968">
            <w:pPr>
              <w:spacing w:after="40" w:line="240" w:lineRule="auto"/>
            </w:pPr>
            <w:r>
              <w:rPr>
                <w:rFonts w:ascii="Times New Roman" w:hAnsi="Times New Roman" w:eastAsia="Times New Roman"/>
                <w:sz w:val="18"/>
              </w:rPr>
              <w:t>SR, AT</w:t>
            </w:r>
          </w:p>
        </w:tc>
        <w:tc>
          <w:tcPr>
            <w:tcW w:w="2041" w:type="dxa"/>
          </w:tcPr>
          <w:p w14:paraId="36C5594D">
            <w:pPr>
              <w:spacing w:after="40" w:line="240" w:lineRule="auto"/>
            </w:pPr>
            <w:r>
              <w:rPr>
                <w:rFonts w:ascii="Times New Roman" w:hAnsi="Times New Roman" w:eastAsia="Times New Roman"/>
                <w:sz w:val="18"/>
              </w:rPr>
              <w:t>Meteorological monitoring station</w:t>
            </w:r>
          </w:p>
        </w:tc>
      </w:tr>
      <w:tr w14:paraId="3E994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14:paraId="44B3664E">
            <w:pPr>
              <w:spacing w:after="40" w:line="240" w:lineRule="auto"/>
            </w:pPr>
            <w:r>
              <w:rPr>
                <w:rFonts w:ascii="Times New Roman" w:hAnsi="Times New Roman" w:eastAsia="Times New Roman"/>
                <w:sz w:val="18"/>
              </w:rPr>
              <w:t>Construction measures</w:t>
            </w:r>
          </w:p>
        </w:tc>
        <w:tc>
          <w:tcPr>
            <w:tcW w:w="1928" w:type="dxa"/>
          </w:tcPr>
          <w:p w14:paraId="552E1073">
            <w:pPr>
              <w:spacing w:after="40" w:line="240" w:lineRule="auto"/>
            </w:pPr>
            <w:r>
              <w:rPr>
                <w:rFonts w:ascii="Times New Roman" w:hAnsi="Times New Roman" w:eastAsia="Times New Roman"/>
                <w:sz w:val="18"/>
              </w:rPr>
              <w:t>Formwork-Sys-01; CF-01</w:t>
            </w:r>
          </w:p>
        </w:tc>
        <w:tc>
          <w:tcPr>
            <w:tcW w:w="2608" w:type="dxa"/>
          </w:tcPr>
          <w:p w14:paraId="47208EE9">
            <w:pPr>
              <w:spacing w:after="40" w:line="240" w:lineRule="auto"/>
            </w:pPr>
            <w:r>
              <w:rPr>
                <w:rFonts w:ascii="Times New Roman" w:hAnsi="Times New Roman" w:eastAsia="Times New Roman"/>
                <w:sz w:val="18"/>
              </w:rPr>
              <w:t>Formwork system, climbing frame</w:t>
            </w:r>
          </w:p>
        </w:tc>
        <w:tc>
          <w:tcPr>
            <w:tcW w:w="1587" w:type="dxa"/>
          </w:tcPr>
          <w:p w14:paraId="22978A07">
            <w:pPr>
              <w:spacing w:after="40" w:line="240" w:lineRule="auto"/>
            </w:pPr>
            <w:r>
              <w:rPr>
                <w:rFonts w:ascii="Times New Roman" w:hAnsi="Times New Roman" w:eastAsia="Times New Roman"/>
                <w:sz w:val="18"/>
              </w:rPr>
              <w:t>CS, IR, AT</w:t>
            </w:r>
          </w:p>
        </w:tc>
        <w:tc>
          <w:tcPr>
            <w:tcW w:w="2041" w:type="dxa"/>
          </w:tcPr>
          <w:p w14:paraId="688688AB">
            <w:pPr>
              <w:spacing w:after="40" w:line="240" w:lineRule="auto"/>
            </w:pPr>
            <w:r>
              <w:rPr>
                <w:rFonts w:ascii="Times New Roman" w:hAnsi="Times New Roman" w:eastAsia="Times New Roman"/>
                <w:sz w:val="18"/>
              </w:rPr>
              <w:t>Construction scheme documents</w:t>
            </w:r>
          </w:p>
        </w:tc>
      </w:tr>
      <w:tr w14:paraId="5FA8A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14:paraId="48CC23F3">
            <w:pPr>
              <w:spacing w:after="40" w:line="240" w:lineRule="auto"/>
            </w:pPr>
            <w:r>
              <w:rPr>
                <w:rFonts w:ascii="Times New Roman" w:hAnsi="Times New Roman" w:eastAsia="Times New Roman"/>
                <w:sz w:val="18"/>
              </w:rPr>
              <w:t>Monitoring and sensing</w:t>
            </w:r>
          </w:p>
        </w:tc>
        <w:tc>
          <w:tcPr>
            <w:tcW w:w="1928" w:type="dxa"/>
          </w:tcPr>
          <w:p w14:paraId="1E84ADCE">
            <w:pPr>
              <w:spacing w:after="40" w:line="240" w:lineRule="auto"/>
            </w:pPr>
            <w:r>
              <w:rPr>
                <w:rFonts w:ascii="Times New Roman" w:hAnsi="Times New Roman" w:eastAsia="Times New Roman"/>
                <w:sz w:val="18"/>
              </w:rPr>
              <w:t>Anemometer-01; SG-01–SG-04</w:t>
            </w:r>
          </w:p>
        </w:tc>
        <w:tc>
          <w:tcPr>
            <w:tcW w:w="2608" w:type="dxa"/>
          </w:tcPr>
          <w:p w14:paraId="0E1A54CE">
            <w:pPr>
              <w:spacing w:after="40" w:line="240" w:lineRule="auto"/>
            </w:pPr>
            <w:r>
              <w:rPr>
                <w:rFonts w:ascii="Times New Roman" w:hAnsi="Times New Roman" w:eastAsia="Times New Roman"/>
                <w:sz w:val="18"/>
              </w:rPr>
              <w:t>Anemometer, strain gauges on the pier</w:t>
            </w:r>
          </w:p>
        </w:tc>
        <w:tc>
          <w:tcPr>
            <w:tcW w:w="1587" w:type="dxa"/>
          </w:tcPr>
          <w:p w14:paraId="2CDE09F5">
            <w:pPr>
              <w:spacing w:after="40" w:line="240" w:lineRule="auto"/>
            </w:pPr>
            <w:r>
              <w:rPr>
                <w:rFonts w:ascii="Times New Roman" w:hAnsi="Times New Roman" w:eastAsia="Times New Roman"/>
                <w:sz w:val="18"/>
              </w:rPr>
              <w:t>SP, BA, AT</w:t>
            </w:r>
          </w:p>
        </w:tc>
        <w:tc>
          <w:tcPr>
            <w:tcW w:w="2041" w:type="dxa"/>
          </w:tcPr>
          <w:p w14:paraId="6143B1B7">
            <w:pPr>
              <w:spacing w:after="40" w:line="240" w:lineRule="auto"/>
            </w:pPr>
            <w:r>
              <w:rPr>
                <w:rFonts w:ascii="Times New Roman" w:hAnsi="Times New Roman" w:eastAsia="Times New Roman"/>
                <w:sz w:val="18"/>
              </w:rPr>
              <w:t>Sensor data acquisition system</w:t>
            </w:r>
          </w:p>
        </w:tc>
      </w:tr>
      <w:tr w14:paraId="3A48A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1" w:type="dxa"/>
          </w:tcPr>
          <w:p w14:paraId="1D2550B0">
            <w:pPr>
              <w:spacing w:after="40" w:line="240" w:lineRule="auto"/>
            </w:pPr>
            <w:r>
              <w:rPr>
                <w:rFonts w:ascii="Times New Roman" w:hAnsi="Times New Roman" w:eastAsia="Times New Roman"/>
                <w:sz w:val="18"/>
              </w:rPr>
              <w:t>Quality inspection</w:t>
            </w:r>
          </w:p>
        </w:tc>
        <w:tc>
          <w:tcPr>
            <w:tcW w:w="1928" w:type="dxa"/>
          </w:tcPr>
          <w:p w14:paraId="04460DDF">
            <w:pPr>
              <w:spacing w:after="40" w:line="240" w:lineRule="auto"/>
            </w:pPr>
            <w:r>
              <w:rPr>
                <w:rFonts w:ascii="Times New Roman" w:hAnsi="Times New Roman" w:eastAsia="Times New Roman"/>
                <w:sz w:val="18"/>
              </w:rPr>
              <w:t>QI-Conc-S5</w:t>
            </w:r>
          </w:p>
        </w:tc>
        <w:tc>
          <w:tcPr>
            <w:tcW w:w="2608" w:type="dxa"/>
          </w:tcPr>
          <w:p w14:paraId="1675A3B3">
            <w:pPr>
              <w:spacing w:after="40" w:line="240" w:lineRule="auto"/>
            </w:pPr>
            <w:r>
              <w:rPr>
                <w:rFonts w:ascii="Times New Roman" w:hAnsi="Times New Roman" w:eastAsia="Times New Roman"/>
                <w:sz w:val="18"/>
              </w:rPr>
              <w:t>Concrete strength test of pier segment S5</w:t>
            </w:r>
          </w:p>
        </w:tc>
        <w:tc>
          <w:tcPr>
            <w:tcW w:w="1587" w:type="dxa"/>
          </w:tcPr>
          <w:p w14:paraId="1BD71687">
            <w:pPr>
              <w:spacing w:after="40" w:line="240" w:lineRule="auto"/>
            </w:pPr>
            <w:r>
              <w:rPr>
                <w:rFonts w:ascii="Times New Roman" w:hAnsi="Times New Roman" w:eastAsia="Times New Roman"/>
                <w:sz w:val="18"/>
              </w:rPr>
              <w:t>IR, AT</w:t>
            </w:r>
          </w:p>
        </w:tc>
        <w:tc>
          <w:tcPr>
            <w:tcW w:w="2041" w:type="dxa"/>
          </w:tcPr>
          <w:p w14:paraId="7E1F18A1">
            <w:pPr>
              <w:spacing w:after="40" w:line="240" w:lineRule="auto"/>
            </w:pPr>
            <w:r>
              <w:rPr>
                <w:rFonts w:ascii="Times New Roman" w:hAnsi="Times New Roman" w:eastAsia="Times New Roman"/>
                <w:sz w:val="18"/>
              </w:rPr>
              <w:t>Quality inspection records</w:t>
            </w:r>
          </w:p>
        </w:tc>
      </w:tr>
    </w:tbl>
    <w:p w14:paraId="7AA66643">
      <w:pPr>
        <w:spacing w:after="80" w:line="240" w:lineRule="auto"/>
      </w:pPr>
    </w:p>
    <w:p w14:paraId="63314851">
      <w:pPr>
        <w:spacing w:before="240" w:after="120"/>
      </w:pPr>
      <w:r>
        <w:rPr>
          <w:rFonts w:ascii="Times New Roman" w:hAnsi="Times New Roman" w:eastAsia="Times New Roman"/>
          <w:b/>
          <w:sz w:val="24"/>
        </w:rPr>
        <w:t>S3. Formalized description instances of key objects</w:t>
      </w:r>
    </w:p>
    <w:p w14:paraId="6465EC13">
      <w:pPr>
        <w:spacing w:after="160" w:line="240" w:lineRule="auto"/>
      </w:pPr>
      <w:r>
        <w:rPr>
          <w:rFonts w:ascii="Times New Roman" w:hAnsi="Times New Roman" w:eastAsia="Times New Roman"/>
          <w:b w:val="0"/>
          <w:i w:val="0"/>
          <w:sz w:val="21"/>
        </w:rPr>
        <w:t>The following instances populate the symbolic expressions defined in Eqs. (1)–(7) of the main text. They are given in the same tuple notation and are directly machine-parsable.</w:t>
      </w:r>
    </w:p>
    <w:p w14:paraId="442E8EB8">
      <w:pPr>
        <w:spacing w:after="80" w:line="240" w:lineRule="auto"/>
      </w:pPr>
      <w:r>
        <w:rPr>
          <w:rFonts w:ascii="Times New Roman" w:hAnsi="Times New Roman" w:eastAsia="Times New Roman"/>
          <w:b/>
          <w:i w:val="0"/>
          <w:sz w:val="21"/>
        </w:rPr>
        <w:t>S3.1 Spatio-temporal reference (SR) and spatio-temporal positioning (SP) of Pier-Abutment-1</w:t>
      </w:r>
    </w:p>
    <w:p w14:paraId="509E6D42">
      <w:pPr>
        <w:spacing w:after="160" w:line="240" w:lineRule="auto"/>
        <w:ind w:left="340"/>
      </w:pPr>
      <w:r>
        <w:rPr>
          <w:rFonts w:ascii="Consolas" w:hAnsi="Consolas" w:eastAsia="Consolas"/>
          <w:sz w:val="18"/>
        </w:rPr>
        <w:t>SR_Pier = (T_Ref: "Gregorian calendar, UTC+8", S_Ref_Global: "CGCS2000", S_Ref_Parent: "Bridge-Project-2024 construction control network", S_Ref_Local: "Pier-Abutment-1 local frame")</w:t>
      </w:r>
    </w:p>
    <w:p w14:paraId="1E34F654">
      <w:pPr>
        <w:spacing w:after="160" w:line="240" w:lineRule="auto"/>
        <w:ind w:left="340"/>
      </w:pPr>
      <w:r>
        <w:rPr>
          <w:rFonts w:ascii="Consolas" w:hAnsi="Consolas" w:eastAsia="Consolas"/>
          <w:sz w:val="18"/>
        </w:rPr>
        <w:t>SP_Pier = (T: "2024-05-27T10:30:00+08:00", P: (38432105.32, 3352018.47, 42.50), O: (0.0, 0.0, 90.0), V: (0, 0, 0), ω: (0, 0, 0))</w:t>
      </w:r>
    </w:p>
    <w:p w14:paraId="2D4B1C8C">
      <w:pPr>
        <w:spacing w:after="160" w:line="240" w:lineRule="auto"/>
      </w:pPr>
      <w:r>
        <w:rPr>
          <w:rFonts w:ascii="Times New Roman" w:hAnsi="Times New Roman" w:eastAsia="Times New Roman"/>
          <w:b w:val="0"/>
          <w:i/>
          <w:sz w:val="18"/>
        </w:rPr>
        <w:t>Coordinates are planimetric coordinates (m) in the project control network with ellipsoidal height (m); orientation is given as (roll, pitch, azimuth) in degrees.</w:t>
      </w:r>
    </w:p>
    <w:p w14:paraId="4B1F2304">
      <w:pPr>
        <w:spacing w:after="80" w:line="240" w:lineRule="auto"/>
      </w:pPr>
      <w:r>
        <w:rPr>
          <w:rFonts w:ascii="Times New Roman" w:hAnsi="Times New Roman" w:eastAsia="Times New Roman"/>
          <w:b/>
          <w:i w:val="0"/>
          <w:sz w:val="21"/>
        </w:rPr>
        <w:t>S3.2 Compositional structure (CS) of Pier-Abutment-1</w:t>
      </w:r>
    </w:p>
    <w:p w14:paraId="682AA4D3">
      <w:pPr>
        <w:spacing w:after="160" w:line="240" w:lineRule="auto"/>
        <w:ind w:left="340"/>
      </w:pPr>
      <w:r>
        <w:rPr>
          <w:rFonts w:ascii="Consolas" w:hAnsi="Consolas" w:eastAsia="Consolas"/>
          <w:sz w:val="18"/>
        </w:rPr>
        <w:t>CS_Pier = (Whole: "Pier-Abutment-1", Parts: {"CushionCap-1", "PierBody-1", "BentCap-1"}, Relation: "is-composed-of")</w:t>
      </w:r>
    </w:p>
    <w:p w14:paraId="2A3B1F04">
      <w:pPr>
        <w:spacing w:after="160" w:line="240" w:lineRule="auto"/>
        <w:ind w:left="340"/>
      </w:pPr>
      <w:r>
        <w:rPr>
          <w:rFonts w:ascii="Consolas" w:hAnsi="Consolas" w:eastAsia="Consolas"/>
          <w:sz w:val="18"/>
        </w:rPr>
        <w:t>CS_PierBody = (Whole: "PierBody-1", Parts: {"RebarCage-PB1", "ConcreteBatch-PB1-01", "ConcreteBatch-PB1-02", "ConcreteBatch-PB1-03"}, Relation: "is-composed-of")</w:t>
      </w:r>
    </w:p>
    <w:p w14:paraId="6314C13E">
      <w:pPr>
        <w:spacing w:after="80" w:line="240" w:lineRule="auto"/>
      </w:pPr>
      <w:r>
        <w:rPr>
          <w:rFonts w:ascii="Times New Roman" w:hAnsi="Times New Roman" w:eastAsia="Times New Roman"/>
          <w:b/>
          <w:i w:val="0"/>
          <w:sz w:val="21"/>
        </w:rPr>
        <w:t>S3.3 Attributes (AT) of Pier-Abutment-1 and Anemometer-01</w:t>
      </w:r>
    </w:p>
    <w:p w14:paraId="7BB591FF">
      <w:pPr>
        <w:spacing w:after="160" w:line="240" w:lineRule="auto"/>
        <w:ind w:left="340"/>
      </w:pPr>
      <w:r>
        <w:rPr>
          <w:rFonts w:ascii="Consolas" w:hAnsi="Consolas" w:eastAsia="Consolas"/>
          <w:sz w:val="18"/>
        </w:rPr>
        <w:t>AT_Pier = (Static_Attributes: {"design_elevation": 46.50, "concrete_grade": "C40", "section_size": "8.0 × 4.5"}, Dynamic_Attributes: {"pouring_progress": (0.62, "2024-05-27T10:30:00+08:00"), "strain_SG-03": (18.4, "2024-05-27T10:30:00+08:00")}, Metadata: {"design_elevation": {"unit": "m", "data_type": "float"}, "strain_SG-03": {"unit": "με", "data_type": "float", "source": "SG-03"}})</w:t>
      </w:r>
    </w:p>
    <w:p w14:paraId="5EDFAA51">
      <w:pPr>
        <w:spacing w:after="160" w:line="240" w:lineRule="auto"/>
        <w:ind w:left="340"/>
      </w:pPr>
      <w:r>
        <w:rPr>
          <w:rFonts w:ascii="Consolas" w:hAnsi="Consolas" w:eastAsia="Consolas"/>
          <w:sz w:val="18"/>
        </w:rPr>
        <w:t>AT_Anemometer-01 = (Static_Attributes: {"model": "WSS-501", "mount_height": 32.5}, Dynamic_Attributes: {"wind_speed": (15.8, "2024-05-27T10:30:00+08:00")}, Metadata: {"wind_speed": {"unit": "m/s", "data_type": "float", "source": "Anemometer-01"}, "mount_height": {"unit": "m"}})</w:t>
      </w:r>
    </w:p>
    <w:p w14:paraId="1A05D786">
      <w:pPr>
        <w:spacing w:after="80" w:line="240" w:lineRule="auto"/>
      </w:pPr>
      <w:r>
        <w:rPr>
          <w:rFonts w:ascii="Times New Roman" w:hAnsi="Times New Roman" w:eastAsia="Times New Roman"/>
          <w:b/>
          <w:i w:val="0"/>
          <w:sz w:val="21"/>
        </w:rPr>
        <w:t>S3.4 Cognitive intelligence (CI) of the wind speed monitoring and early warning system</w:t>
      </w:r>
    </w:p>
    <w:p w14:paraId="6A6781C1">
      <w:pPr>
        <w:spacing w:after="160" w:line="240" w:lineRule="auto"/>
        <w:ind w:left="340"/>
      </w:pPr>
      <w:r>
        <w:rPr>
          <w:rFonts w:ascii="Consolas" w:hAnsi="Consolas" w:eastAsia="Consolas"/>
          <w:sz w:val="18"/>
        </w:rPr>
        <w:t>CI_WindAlert = (Perceive: lambda: {"wind_speed": query_sensor("anemometer_01")}, Analyze: lambda p, kb: {"risk": "High" if p["wind_speed"] &gt; kb["max_wind"] else "Low"}, Decide: lambda s, g, kb: "Issue_Alert" if s["risk"] == "High" else "Continue", Act: lambda d: send_alert(d), KnowledgeBase: {"max_wind": 15.0}, Goal: "Ensure_Lifting_Safety")</w:t>
      </w:r>
    </w:p>
    <w:p w14:paraId="26D4C508">
      <w:pPr>
        <w:spacing w:after="80" w:line="240" w:lineRule="auto"/>
      </w:pPr>
      <w:r>
        <w:rPr>
          <w:rFonts w:ascii="Times New Roman" w:hAnsi="Times New Roman" w:eastAsia="Times New Roman"/>
          <w:b/>
          <w:i w:val="0"/>
          <w:sz w:val="21"/>
        </w:rPr>
        <w:t>S3.5 Behavioral action (BA) of tower crane TC-01</w:t>
      </w:r>
    </w:p>
    <w:p w14:paraId="1A5FE9AE">
      <w:pPr>
        <w:spacing w:after="160" w:line="240" w:lineRule="auto"/>
        <w:ind w:left="340"/>
      </w:pPr>
      <w:r>
        <w:rPr>
          <w:rFonts w:ascii="Consolas" w:hAnsi="Consolas" w:eastAsia="Consolas"/>
          <w:sz w:val="18"/>
        </w:rPr>
        <w:t>Action_Lift = (Actor: "TC-01", Verb: "Lift", Target: "SteelBarBundle-S5-02", Parameters: {"lift_height": 30.0, "speed": 0.5}, Trigger: "On_Command(Command_ID: CMD-LIFT-20240527-003)", Precondition: {"self.status": "idle", "wind_speed": "&lt; 15 m/s"}, Effect: {"Target.position": "at_installation_position", "Project.progress": "segment_S5_rebar_in_place"})</w:t>
      </w:r>
    </w:p>
    <w:p w14:paraId="5AD7B423">
      <w:pPr>
        <w:spacing w:after="160" w:line="240" w:lineRule="auto"/>
      </w:pPr>
      <w:r>
        <w:rPr>
          <w:rFonts w:ascii="Times New Roman" w:hAnsi="Times New Roman" w:eastAsia="Times New Roman"/>
          <w:b w:val="0"/>
          <w:i/>
          <w:sz w:val="18"/>
        </w:rPr>
        <w:t>At 2024-05-27T10:30:00+08:00, the measured wind speed reached 15.8 m/s; the Decide function of CI_WindAlert output “Issue_Alert”, the Precondition of Action_Lift was no longer satisfied, and the lifting action was suspended (see the event sequence in S4).</w:t>
      </w:r>
    </w:p>
    <w:p w14:paraId="5543A35C">
      <w:pPr>
        <w:spacing w:after="80" w:line="240" w:lineRule="auto"/>
      </w:pPr>
      <w:r>
        <w:rPr>
          <w:rFonts w:ascii="Times New Roman" w:hAnsi="Times New Roman" w:eastAsia="Times New Roman"/>
          <w:b/>
          <w:i w:val="0"/>
          <w:sz w:val="21"/>
        </w:rPr>
        <w:t>S3.6 Interrelationship (IR) instances</w:t>
      </w:r>
    </w:p>
    <w:p w14:paraId="0E1B3CCF">
      <w:pPr>
        <w:spacing w:after="160" w:line="240" w:lineRule="auto"/>
        <w:ind w:left="340"/>
      </w:pPr>
      <w:r>
        <w:rPr>
          <w:rFonts w:ascii="Consolas" w:hAnsi="Consolas" w:eastAsia="Consolas"/>
          <w:sz w:val="18"/>
        </w:rPr>
        <w:t>IR_Attach = (ID: "IR-ATT-001", Subject: "Anemometer-01", Predicate: "attached-to", Object: "Pier-Abutment-1", Attributes: {"mount_height": 32.5}, T_Valid: ["2024-03-01", "2024-09-30"], S_Scope: "pier top platform")</w:t>
      </w:r>
    </w:p>
    <w:p w14:paraId="0ECA5454">
      <w:pPr>
        <w:spacing w:after="160" w:line="240" w:lineRule="auto"/>
        <w:ind w:left="340"/>
      </w:pPr>
      <w:r>
        <w:rPr>
          <w:rFonts w:ascii="Consolas" w:hAnsi="Consolas" w:eastAsia="Consolas"/>
          <w:sz w:val="18"/>
        </w:rPr>
        <w:t>IR_Precedence = (ID: "IR-PRC-002", Subject: "Formwork-Sys-01 installation (segment S5)", Predicate: "precedes", Object: "Concrete pouring (segment S5)", Attributes: {"min_interval": "12 h"}, T_Valid: ["2024-05-20", "2024-06-15"], S_Scope: "Pier-Abutment-1")</w:t>
      </w:r>
    </w:p>
    <w:p w14:paraId="5FAF94D0">
      <w:pPr>
        <w:spacing w:before="240" w:after="120"/>
      </w:pPr>
      <w:r>
        <w:rPr>
          <w:rFonts w:ascii="Times New Roman" w:hAnsi="Times New Roman" w:eastAsia="Times New Roman"/>
          <w:b/>
          <w:sz w:val="24"/>
        </w:rPr>
        <w:t>S4. Sample of dynamic attribute data streams in the wind speed early warning event</w:t>
      </w:r>
    </w:p>
    <w:p w14:paraId="58CF7022">
      <w:pPr>
        <w:spacing w:after="80" w:line="240" w:lineRule="auto"/>
      </w:pPr>
      <w:r>
        <w:rPr>
          <w:rFonts w:ascii="Times New Roman" w:hAnsi="Times New Roman" w:eastAsia="Times New Roman"/>
          <w:b/>
          <w:i w:val="0"/>
          <w:sz w:val="20"/>
        </w:rPr>
        <w:t>Table S2. Wind speed and pier strain records around the early warning event of 2024-05-27 (sampling interval 5 min).</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96"/>
        <w:gridCol w:w="1833"/>
        <w:gridCol w:w="1926"/>
        <w:gridCol w:w="2727"/>
      </w:tblGrid>
      <w:tr w14:paraId="47E62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8" w:type="dxa"/>
          </w:tcPr>
          <w:p w14:paraId="50717030">
            <w:pPr>
              <w:spacing w:after="40" w:line="240" w:lineRule="auto"/>
            </w:pPr>
            <w:r>
              <w:rPr>
                <w:rFonts w:ascii="Times New Roman" w:hAnsi="Times New Roman" w:eastAsia="Times New Roman"/>
                <w:b/>
                <w:sz w:val="18"/>
              </w:rPr>
              <w:t>Timestamp</w:t>
            </w:r>
          </w:p>
        </w:tc>
        <w:tc>
          <w:tcPr>
            <w:tcW w:w="1928" w:type="dxa"/>
          </w:tcPr>
          <w:p w14:paraId="483FA213">
            <w:pPr>
              <w:spacing w:after="40" w:line="240" w:lineRule="auto"/>
            </w:pPr>
            <w:r>
              <w:rPr>
                <w:rFonts w:ascii="Times New Roman" w:hAnsi="Times New Roman" w:eastAsia="Times New Roman"/>
                <w:b/>
                <w:sz w:val="18"/>
              </w:rPr>
              <w:t>wind_speed (m/s)</w:t>
            </w:r>
          </w:p>
        </w:tc>
        <w:tc>
          <w:tcPr>
            <w:tcW w:w="2041" w:type="dxa"/>
          </w:tcPr>
          <w:p w14:paraId="1296CC56">
            <w:pPr>
              <w:spacing w:after="40" w:line="240" w:lineRule="auto"/>
            </w:pPr>
            <w:r>
              <w:rPr>
                <w:rFonts w:ascii="Times New Roman" w:hAnsi="Times New Roman" w:eastAsia="Times New Roman"/>
                <w:b/>
                <w:sz w:val="18"/>
              </w:rPr>
              <w:t>strain_SG-03 (με)</w:t>
            </w:r>
          </w:p>
        </w:tc>
        <w:tc>
          <w:tcPr>
            <w:tcW w:w="2948" w:type="dxa"/>
          </w:tcPr>
          <w:p w14:paraId="7DEBA466">
            <w:pPr>
              <w:spacing w:after="40" w:line="240" w:lineRule="auto"/>
            </w:pPr>
            <w:r>
              <w:rPr>
                <w:rFonts w:ascii="Times New Roman" w:hAnsi="Times New Roman" w:eastAsia="Times New Roman"/>
                <w:b/>
                <w:sz w:val="18"/>
              </w:rPr>
              <w:t>System state</w:t>
            </w:r>
          </w:p>
        </w:tc>
      </w:tr>
      <w:tr w14:paraId="64970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8" w:type="dxa"/>
          </w:tcPr>
          <w:p w14:paraId="52A8FCD2">
            <w:pPr>
              <w:spacing w:after="40" w:line="240" w:lineRule="auto"/>
            </w:pPr>
            <w:r>
              <w:rPr>
                <w:rFonts w:ascii="Times New Roman" w:hAnsi="Times New Roman" w:eastAsia="Times New Roman"/>
                <w:sz w:val="18"/>
              </w:rPr>
              <w:t>2024-05-27T10:05:00+08:00</w:t>
            </w:r>
          </w:p>
        </w:tc>
        <w:tc>
          <w:tcPr>
            <w:tcW w:w="1928" w:type="dxa"/>
          </w:tcPr>
          <w:p w14:paraId="7F8CAD6E">
            <w:pPr>
              <w:spacing w:after="40" w:line="240" w:lineRule="auto"/>
            </w:pPr>
            <w:r>
              <w:rPr>
                <w:rFonts w:ascii="Times New Roman" w:hAnsi="Times New Roman" w:eastAsia="Times New Roman"/>
                <w:sz w:val="18"/>
              </w:rPr>
              <w:t>11.2</w:t>
            </w:r>
          </w:p>
        </w:tc>
        <w:tc>
          <w:tcPr>
            <w:tcW w:w="2041" w:type="dxa"/>
          </w:tcPr>
          <w:p w14:paraId="0DE51A43">
            <w:pPr>
              <w:spacing w:after="40" w:line="240" w:lineRule="auto"/>
            </w:pPr>
            <w:r>
              <w:rPr>
                <w:rFonts w:ascii="Times New Roman" w:hAnsi="Times New Roman" w:eastAsia="Times New Roman"/>
                <w:sz w:val="18"/>
              </w:rPr>
              <w:t>17.9</w:t>
            </w:r>
          </w:p>
        </w:tc>
        <w:tc>
          <w:tcPr>
            <w:tcW w:w="2948" w:type="dxa"/>
          </w:tcPr>
          <w:p w14:paraId="121D8541">
            <w:pPr>
              <w:spacing w:after="40" w:line="240" w:lineRule="auto"/>
            </w:pPr>
            <w:r>
              <w:rPr>
                <w:rFonts w:ascii="Times New Roman" w:hAnsi="Times New Roman" w:eastAsia="Times New Roman"/>
                <w:sz w:val="18"/>
              </w:rPr>
              <w:t>Normal</w:t>
            </w:r>
          </w:p>
        </w:tc>
      </w:tr>
      <w:tr w14:paraId="60692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8" w:type="dxa"/>
          </w:tcPr>
          <w:p w14:paraId="188722E7">
            <w:pPr>
              <w:spacing w:after="40" w:line="240" w:lineRule="auto"/>
            </w:pPr>
            <w:r>
              <w:rPr>
                <w:rFonts w:ascii="Times New Roman" w:hAnsi="Times New Roman" w:eastAsia="Times New Roman"/>
                <w:sz w:val="18"/>
              </w:rPr>
              <w:t>2024-05-27T10:10:00+08:00</w:t>
            </w:r>
          </w:p>
        </w:tc>
        <w:tc>
          <w:tcPr>
            <w:tcW w:w="1928" w:type="dxa"/>
          </w:tcPr>
          <w:p w14:paraId="359313CE">
            <w:pPr>
              <w:spacing w:after="40" w:line="240" w:lineRule="auto"/>
            </w:pPr>
            <w:r>
              <w:rPr>
                <w:rFonts w:ascii="Times New Roman" w:hAnsi="Times New Roman" w:eastAsia="Times New Roman"/>
                <w:sz w:val="18"/>
              </w:rPr>
              <w:t>12.6</w:t>
            </w:r>
          </w:p>
        </w:tc>
        <w:tc>
          <w:tcPr>
            <w:tcW w:w="2041" w:type="dxa"/>
          </w:tcPr>
          <w:p w14:paraId="086E0962">
            <w:pPr>
              <w:spacing w:after="40" w:line="240" w:lineRule="auto"/>
            </w:pPr>
            <w:r>
              <w:rPr>
                <w:rFonts w:ascii="Times New Roman" w:hAnsi="Times New Roman" w:eastAsia="Times New Roman"/>
                <w:sz w:val="18"/>
              </w:rPr>
              <w:t>18.0</w:t>
            </w:r>
          </w:p>
        </w:tc>
        <w:tc>
          <w:tcPr>
            <w:tcW w:w="2948" w:type="dxa"/>
          </w:tcPr>
          <w:p w14:paraId="7C6E6956">
            <w:pPr>
              <w:spacing w:after="40" w:line="240" w:lineRule="auto"/>
            </w:pPr>
            <w:r>
              <w:rPr>
                <w:rFonts w:ascii="Times New Roman" w:hAnsi="Times New Roman" w:eastAsia="Times New Roman"/>
                <w:sz w:val="18"/>
              </w:rPr>
              <w:t>Normal</w:t>
            </w:r>
          </w:p>
        </w:tc>
      </w:tr>
      <w:tr w14:paraId="7A0CF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8" w:type="dxa"/>
          </w:tcPr>
          <w:p w14:paraId="3DD49C04">
            <w:pPr>
              <w:spacing w:after="40" w:line="240" w:lineRule="auto"/>
            </w:pPr>
            <w:r>
              <w:rPr>
                <w:rFonts w:ascii="Times New Roman" w:hAnsi="Times New Roman" w:eastAsia="Times New Roman"/>
                <w:sz w:val="18"/>
              </w:rPr>
              <w:t>2024-05-27T10:15:00+08:00</w:t>
            </w:r>
          </w:p>
        </w:tc>
        <w:tc>
          <w:tcPr>
            <w:tcW w:w="1928" w:type="dxa"/>
          </w:tcPr>
          <w:p w14:paraId="4734E4DA">
            <w:pPr>
              <w:spacing w:after="40" w:line="240" w:lineRule="auto"/>
            </w:pPr>
            <w:r>
              <w:rPr>
                <w:rFonts w:ascii="Times New Roman" w:hAnsi="Times New Roman" w:eastAsia="Times New Roman"/>
                <w:sz w:val="18"/>
              </w:rPr>
              <w:t>13.9</w:t>
            </w:r>
          </w:p>
        </w:tc>
        <w:tc>
          <w:tcPr>
            <w:tcW w:w="2041" w:type="dxa"/>
          </w:tcPr>
          <w:p w14:paraId="602394AE">
            <w:pPr>
              <w:spacing w:after="40" w:line="240" w:lineRule="auto"/>
            </w:pPr>
            <w:r>
              <w:rPr>
                <w:rFonts w:ascii="Times New Roman" w:hAnsi="Times New Roman" w:eastAsia="Times New Roman"/>
                <w:sz w:val="18"/>
              </w:rPr>
              <w:t>18.1</w:t>
            </w:r>
          </w:p>
        </w:tc>
        <w:tc>
          <w:tcPr>
            <w:tcW w:w="2948" w:type="dxa"/>
          </w:tcPr>
          <w:p w14:paraId="6AE17863">
            <w:pPr>
              <w:spacing w:after="40" w:line="240" w:lineRule="auto"/>
            </w:pPr>
            <w:r>
              <w:rPr>
                <w:rFonts w:ascii="Times New Roman" w:hAnsi="Times New Roman" w:eastAsia="Times New Roman"/>
                <w:sz w:val="18"/>
              </w:rPr>
              <w:t>Normal</w:t>
            </w:r>
          </w:p>
        </w:tc>
      </w:tr>
      <w:tr w14:paraId="5AE15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8" w:type="dxa"/>
          </w:tcPr>
          <w:p w14:paraId="26279879">
            <w:pPr>
              <w:spacing w:after="40" w:line="240" w:lineRule="auto"/>
            </w:pPr>
            <w:r>
              <w:rPr>
                <w:rFonts w:ascii="Times New Roman" w:hAnsi="Times New Roman" w:eastAsia="Times New Roman"/>
                <w:sz w:val="18"/>
              </w:rPr>
              <w:t>2024-05-27T10:20:00+08:00</w:t>
            </w:r>
          </w:p>
        </w:tc>
        <w:tc>
          <w:tcPr>
            <w:tcW w:w="1928" w:type="dxa"/>
          </w:tcPr>
          <w:p w14:paraId="428F3BA3">
            <w:pPr>
              <w:spacing w:after="40" w:line="240" w:lineRule="auto"/>
            </w:pPr>
            <w:r>
              <w:rPr>
                <w:rFonts w:ascii="Times New Roman" w:hAnsi="Times New Roman" w:eastAsia="Times New Roman"/>
                <w:sz w:val="18"/>
              </w:rPr>
              <w:t>14.7</w:t>
            </w:r>
          </w:p>
        </w:tc>
        <w:tc>
          <w:tcPr>
            <w:tcW w:w="2041" w:type="dxa"/>
          </w:tcPr>
          <w:p w14:paraId="272C5574">
            <w:pPr>
              <w:spacing w:after="40" w:line="240" w:lineRule="auto"/>
            </w:pPr>
            <w:r>
              <w:rPr>
                <w:rFonts w:ascii="Times New Roman" w:hAnsi="Times New Roman" w:eastAsia="Times New Roman"/>
                <w:sz w:val="18"/>
              </w:rPr>
              <w:t>18.2</w:t>
            </w:r>
          </w:p>
        </w:tc>
        <w:tc>
          <w:tcPr>
            <w:tcW w:w="2948" w:type="dxa"/>
          </w:tcPr>
          <w:p w14:paraId="655FE164">
            <w:pPr>
              <w:spacing w:after="40" w:line="240" w:lineRule="auto"/>
            </w:pPr>
            <w:r>
              <w:rPr>
                <w:rFonts w:ascii="Times New Roman" w:hAnsi="Times New Roman" w:eastAsia="Times New Roman"/>
                <w:sz w:val="18"/>
              </w:rPr>
              <w:t>Normal</w:t>
            </w:r>
          </w:p>
        </w:tc>
      </w:tr>
      <w:tr w14:paraId="21D2C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8" w:type="dxa"/>
          </w:tcPr>
          <w:p w14:paraId="72A217E7">
            <w:pPr>
              <w:spacing w:after="40" w:line="240" w:lineRule="auto"/>
            </w:pPr>
            <w:r>
              <w:rPr>
                <w:rFonts w:ascii="Times New Roman" w:hAnsi="Times New Roman" w:eastAsia="Times New Roman"/>
                <w:sz w:val="18"/>
              </w:rPr>
              <w:t>2024-05-27T10:25:00+08:00</w:t>
            </w:r>
          </w:p>
        </w:tc>
        <w:tc>
          <w:tcPr>
            <w:tcW w:w="1928" w:type="dxa"/>
          </w:tcPr>
          <w:p w14:paraId="506EF491">
            <w:pPr>
              <w:spacing w:after="40" w:line="240" w:lineRule="auto"/>
            </w:pPr>
            <w:r>
              <w:rPr>
                <w:rFonts w:ascii="Times New Roman" w:hAnsi="Times New Roman" w:eastAsia="Times New Roman"/>
                <w:sz w:val="18"/>
              </w:rPr>
              <w:t>15.3</w:t>
            </w:r>
          </w:p>
        </w:tc>
        <w:tc>
          <w:tcPr>
            <w:tcW w:w="2041" w:type="dxa"/>
          </w:tcPr>
          <w:p w14:paraId="3C9A03E2">
            <w:pPr>
              <w:spacing w:after="40" w:line="240" w:lineRule="auto"/>
            </w:pPr>
            <w:r>
              <w:rPr>
                <w:rFonts w:ascii="Times New Roman" w:hAnsi="Times New Roman" w:eastAsia="Times New Roman"/>
                <w:sz w:val="18"/>
              </w:rPr>
              <w:t>18.3</w:t>
            </w:r>
          </w:p>
        </w:tc>
        <w:tc>
          <w:tcPr>
            <w:tcW w:w="2948" w:type="dxa"/>
          </w:tcPr>
          <w:p w14:paraId="0A9378E5">
            <w:pPr>
              <w:spacing w:after="40" w:line="240" w:lineRule="auto"/>
            </w:pPr>
            <w:r>
              <w:rPr>
                <w:rFonts w:ascii="Times New Roman" w:hAnsi="Times New Roman" w:eastAsia="Times New Roman"/>
                <w:sz w:val="18"/>
              </w:rPr>
              <w:t>Alert (risk = High)</w:t>
            </w:r>
          </w:p>
        </w:tc>
      </w:tr>
      <w:tr w14:paraId="07425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8" w:type="dxa"/>
          </w:tcPr>
          <w:p w14:paraId="5DAC8FC8">
            <w:pPr>
              <w:spacing w:after="40" w:line="240" w:lineRule="auto"/>
            </w:pPr>
            <w:r>
              <w:rPr>
                <w:rFonts w:ascii="Times New Roman" w:hAnsi="Times New Roman" w:eastAsia="Times New Roman"/>
                <w:sz w:val="18"/>
              </w:rPr>
              <w:t>2024-05-27T10:30:00+08:00</w:t>
            </w:r>
          </w:p>
        </w:tc>
        <w:tc>
          <w:tcPr>
            <w:tcW w:w="1928" w:type="dxa"/>
          </w:tcPr>
          <w:p w14:paraId="75089DAA">
            <w:pPr>
              <w:spacing w:after="40" w:line="240" w:lineRule="auto"/>
            </w:pPr>
            <w:r>
              <w:rPr>
                <w:rFonts w:ascii="Times New Roman" w:hAnsi="Times New Roman" w:eastAsia="Times New Roman"/>
                <w:sz w:val="18"/>
              </w:rPr>
              <w:t>15.8</w:t>
            </w:r>
          </w:p>
        </w:tc>
        <w:tc>
          <w:tcPr>
            <w:tcW w:w="2041" w:type="dxa"/>
          </w:tcPr>
          <w:p w14:paraId="6B104D7C">
            <w:pPr>
              <w:spacing w:after="40" w:line="240" w:lineRule="auto"/>
            </w:pPr>
            <w:r>
              <w:rPr>
                <w:rFonts w:ascii="Times New Roman" w:hAnsi="Times New Roman" w:eastAsia="Times New Roman"/>
                <w:sz w:val="18"/>
              </w:rPr>
              <w:t>18.4</w:t>
            </w:r>
          </w:p>
        </w:tc>
        <w:tc>
          <w:tcPr>
            <w:tcW w:w="2948" w:type="dxa"/>
          </w:tcPr>
          <w:p w14:paraId="1C0F21C0">
            <w:pPr>
              <w:spacing w:after="40" w:line="240" w:lineRule="auto"/>
            </w:pPr>
            <w:r>
              <w:rPr>
                <w:rFonts w:ascii="Times New Roman" w:hAnsi="Times New Roman" w:eastAsia="Times New Roman"/>
                <w:sz w:val="18"/>
              </w:rPr>
              <w:t>Alert; Action_Lift suspended</w:t>
            </w:r>
          </w:p>
        </w:tc>
      </w:tr>
      <w:tr w14:paraId="1340C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8" w:type="dxa"/>
          </w:tcPr>
          <w:p w14:paraId="49D1C6CF">
            <w:pPr>
              <w:spacing w:after="40" w:line="240" w:lineRule="auto"/>
            </w:pPr>
            <w:r>
              <w:rPr>
                <w:rFonts w:ascii="Times New Roman" w:hAnsi="Times New Roman" w:eastAsia="Times New Roman"/>
                <w:sz w:val="18"/>
              </w:rPr>
              <w:t>2024-05-27T10:35:00+08:00</w:t>
            </w:r>
          </w:p>
        </w:tc>
        <w:tc>
          <w:tcPr>
            <w:tcW w:w="1928" w:type="dxa"/>
          </w:tcPr>
          <w:p w14:paraId="0BD613C1">
            <w:pPr>
              <w:spacing w:after="40" w:line="240" w:lineRule="auto"/>
            </w:pPr>
            <w:r>
              <w:rPr>
                <w:rFonts w:ascii="Times New Roman" w:hAnsi="Times New Roman" w:eastAsia="Times New Roman"/>
                <w:sz w:val="18"/>
              </w:rPr>
              <w:t>15.1</w:t>
            </w:r>
          </w:p>
        </w:tc>
        <w:tc>
          <w:tcPr>
            <w:tcW w:w="2041" w:type="dxa"/>
          </w:tcPr>
          <w:p w14:paraId="5F58CD1B">
            <w:pPr>
              <w:spacing w:after="40" w:line="240" w:lineRule="auto"/>
            </w:pPr>
            <w:r>
              <w:rPr>
                <w:rFonts w:ascii="Times New Roman" w:hAnsi="Times New Roman" w:eastAsia="Times New Roman"/>
                <w:sz w:val="18"/>
              </w:rPr>
              <w:t>18.4</w:t>
            </w:r>
          </w:p>
        </w:tc>
        <w:tc>
          <w:tcPr>
            <w:tcW w:w="2948" w:type="dxa"/>
          </w:tcPr>
          <w:p w14:paraId="2C349EB4">
            <w:pPr>
              <w:spacing w:after="40" w:line="240" w:lineRule="auto"/>
            </w:pPr>
            <w:r>
              <w:rPr>
                <w:rFonts w:ascii="Times New Roman" w:hAnsi="Times New Roman" w:eastAsia="Times New Roman"/>
                <w:sz w:val="18"/>
              </w:rPr>
              <w:t>Alert</w:t>
            </w:r>
          </w:p>
        </w:tc>
      </w:tr>
      <w:tr w14:paraId="55F83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8" w:type="dxa"/>
          </w:tcPr>
          <w:p w14:paraId="6CE57F05">
            <w:pPr>
              <w:spacing w:after="40" w:line="240" w:lineRule="auto"/>
            </w:pPr>
            <w:r>
              <w:rPr>
                <w:rFonts w:ascii="Times New Roman" w:hAnsi="Times New Roman" w:eastAsia="Times New Roman"/>
                <w:sz w:val="18"/>
              </w:rPr>
              <w:t>2024-05-27T10:40:00+08:00</w:t>
            </w:r>
          </w:p>
        </w:tc>
        <w:tc>
          <w:tcPr>
            <w:tcW w:w="1928" w:type="dxa"/>
          </w:tcPr>
          <w:p w14:paraId="1EAAA435">
            <w:pPr>
              <w:spacing w:after="40" w:line="240" w:lineRule="auto"/>
            </w:pPr>
            <w:r>
              <w:rPr>
                <w:rFonts w:ascii="Times New Roman" w:hAnsi="Times New Roman" w:eastAsia="Times New Roman"/>
                <w:sz w:val="18"/>
              </w:rPr>
              <w:t>14.2</w:t>
            </w:r>
          </w:p>
        </w:tc>
        <w:tc>
          <w:tcPr>
            <w:tcW w:w="2041" w:type="dxa"/>
          </w:tcPr>
          <w:p w14:paraId="76922F02">
            <w:pPr>
              <w:spacing w:after="40" w:line="240" w:lineRule="auto"/>
            </w:pPr>
            <w:r>
              <w:rPr>
                <w:rFonts w:ascii="Times New Roman" w:hAnsi="Times New Roman" w:eastAsia="Times New Roman"/>
                <w:sz w:val="18"/>
              </w:rPr>
              <w:t>18.3</w:t>
            </w:r>
          </w:p>
        </w:tc>
        <w:tc>
          <w:tcPr>
            <w:tcW w:w="2948" w:type="dxa"/>
          </w:tcPr>
          <w:p w14:paraId="7F7E77C3">
            <w:pPr>
              <w:spacing w:after="40" w:line="240" w:lineRule="auto"/>
            </w:pPr>
            <w:r>
              <w:rPr>
                <w:rFonts w:ascii="Times New Roman" w:hAnsi="Times New Roman" w:eastAsia="Times New Roman"/>
                <w:sz w:val="18"/>
              </w:rPr>
              <w:t>Normal; suspension lifted</w:t>
            </w:r>
          </w:p>
        </w:tc>
      </w:tr>
      <w:tr w14:paraId="0DA95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8" w:type="dxa"/>
          </w:tcPr>
          <w:p w14:paraId="6AD883ED">
            <w:pPr>
              <w:spacing w:after="40" w:line="240" w:lineRule="auto"/>
            </w:pPr>
            <w:r>
              <w:rPr>
                <w:rFonts w:ascii="Times New Roman" w:hAnsi="Times New Roman" w:eastAsia="Times New Roman"/>
                <w:sz w:val="18"/>
              </w:rPr>
              <w:t>2024-05-27T10:45:00+08:00</w:t>
            </w:r>
          </w:p>
        </w:tc>
        <w:tc>
          <w:tcPr>
            <w:tcW w:w="1928" w:type="dxa"/>
          </w:tcPr>
          <w:p w14:paraId="3B2CACB0">
            <w:pPr>
              <w:spacing w:after="40" w:line="240" w:lineRule="auto"/>
            </w:pPr>
            <w:r>
              <w:rPr>
                <w:rFonts w:ascii="Times New Roman" w:hAnsi="Times New Roman" w:eastAsia="Times New Roman"/>
                <w:sz w:val="18"/>
              </w:rPr>
              <w:t>13.0</w:t>
            </w:r>
          </w:p>
        </w:tc>
        <w:tc>
          <w:tcPr>
            <w:tcW w:w="2041" w:type="dxa"/>
          </w:tcPr>
          <w:p w14:paraId="757913BF">
            <w:pPr>
              <w:spacing w:after="40" w:line="240" w:lineRule="auto"/>
            </w:pPr>
            <w:r>
              <w:rPr>
                <w:rFonts w:ascii="Times New Roman" w:hAnsi="Times New Roman" w:eastAsia="Times New Roman"/>
                <w:sz w:val="18"/>
              </w:rPr>
              <w:t>18.2</w:t>
            </w:r>
          </w:p>
        </w:tc>
        <w:tc>
          <w:tcPr>
            <w:tcW w:w="2948" w:type="dxa"/>
          </w:tcPr>
          <w:p w14:paraId="53B24B7E">
            <w:pPr>
              <w:spacing w:after="40" w:line="240" w:lineRule="auto"/>
            </w:pPr>
            <w:r>
              <w:rPr>
                <w:rFonts w:ascii="Times New Roman" w:hAnsi="Times New Roman" w:eastAsia="Times New Roman"/>
                <w:sz w:val="18"/>
              </w:rPr>
              <w:t>Normal</w:t>
            </w:r>
          </w:p>
        </w:tc>
      </w:tr>
      <w:tr w14:paraId="6EFE9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8" w:type="dxa"/>
          </w:tcPr>
          <w:p w14:paraId="5FBE50EC">
            <w:pPr>
              <w:spacing w:after="40" w:line="240" w:lineRule="auto"/>
            </w:pPr>
            <w:r>
              <w:rPr>
                <w:rFonts w:ascii="Times New Roman" w:hAnsi="Times New Roman" w:eastAsia="Times New Roman"/>
                <w:sz w:val="18"/>
              </w:rPr>
              <w:t>2024-05-27T10:50:00+08:00</w:t>
            </w:r>
          </w:p>
        </w:tc>
        <w:tc>
          <w:tcPr>
            <w:tcW w:w="1928" w:type="dxa"/>
          </w:tcPr>
          <w:p w14:paraId="54ADF92C">
            <w:pPr>
              <w:spacing w:after="40" w:line="240" w:lineRule="auto"/>
            </w:pPr>
            <w:r>
              <w:rPr>
                <w:rFonts w:ascii="Times New Roman" w:hAnsi="Times New Roman" w:eastAsia="Times New Roman"/>
                <w:sz w:val="18"/>
              </w:rPr>
              <w:t>12.1</w:t>
            </w:r>
          </w:p>
        </w:tc>
        <w:tc>
          <w:tcPr>
            <w:tcW w:w="2041" w:type="dxa"/>
          </w:tcPr>
          <w:p w14:paraId="637BB24D">
            <w:pPr>
              <w:spacing w:after="40" w:line="240" w:lineRule="auto"/>
            </w:pPr>
            <w:r>
              <w:rPr>
                <w:rFonts w:ascii="Times New Roman" w:hAnsi="Times New Roman" w:eastAsia="Times New Roman"/>
                <w:sz w:val="18"/>
              </w:rPr>
              <w:t>18.1</w:t>
            </w:r>
          </w:p>
        </w:tc>
        <w:tc>
          <w:tcPr>
            <w:tcW w:w="2948" w:type="dxa"/>
          </w:tcPr>
          <w:p w14:paraId="33573EB0">
            <w:pPr>
              <w:spacing w:after="40" w:line="240" w:lineRule="auto"/>
            </w:pPr>
            <w:r>
              <w:rPr>
                <w:rFonts w:ascii="Times New Roman" w:hAnsi="Times New Roman" w:eastAsia="Times New Roman"/>
                <w:sz w:val="18"/>
              </w:rPr>
              <w:t>Normal</w:t>
            </w:r>
          </w:p>
        </w:tc>
      </w:tr>
    </w:tbl>
    <w:p w14:paraId="4FE3B0BC">
      <w:pPr>
        <w:spacing w:after="80" w:line="240" w:lineRule="auto"/>
      </w:pPr>
    </w:p>
    <w:p w14:paraId="0836E021">
      <w:pPr>
        <w:spacing w:before="240" w:after="120"/>
      </w:pPr>
      <w:r>
        <w:rPr>
          <w:rFonts w:ascii="Times New Roman" w:hAnsi="Times New Roman" w:eastAsia="Times New Roman"/>
          <w:b/>
          <w:sz w:val="24"/>
        </w:rPr>
        <w:t>S5. Basis of the comparative analysis (Table 2 of the main text)</w:t>
      </w:r>
    </w:p>
    <w:p w14:paraId="0E96E16C">
      <w:pPr>
        <w:spacing w:after="160" w:line="240" w:lineRule="auto"/>
      </w:pPr>
      <w:r>
        <w:rPr>
          <w:rFonts w:ascii="Times New Roman" w:hAnsi="Times New Roman" w:eastAsia="Times New Roman"/>
          <w:b w:val="0"/>
          <w:i w:val="0"/>
          <w:sz w:val="21"/>
        </w:rPr>
        <w:t>The comparison reported in Table 2 of the main text covers nine feature dimensions: core data unit, spatio-temporal expression, structural organization, relation expression, intelligent ability, behavior modeling, attribute management, granularity flexibility and knowledge expression. The assessment of the BIM method is based on the IFC standard documentation [18]; the assessment of digital twin methods is based on the characteristics reported in [19–20]; and the assessment of the proposed method follows the definitions of the seven-feature framework in Section 3 of the main text. The comparison is a qualitative feature analysis conducted by the authors and uses no external datasets beyond the references cited in the main text.</w:t>
      </w:r>
    </w:p>
    <w:p w14:paraId="63FEA169">
      <w:pPr>
        <w:spacing w:after="0" w:line="240" w:lineRule="auto"/>
      </w:pPr>
      <w:r>
        <w:rPr>
          <w:rFonts w:ascii="Times New Roman" w:hAnsi="Times New Roman" w:eastAsia="Times New Roman"/>
          <w:b w:val="0"/>
          <w:i/>
          <w:sz w:val="18"/>
        </w:rPr>
        <w:t>Note. All identifiers, coordinates and parameter values in this Supplementary Information belong to the constructed illustrative scenario and do not correspond to any real engineering project.</w:t>
      </w:r>
    </w:p>
    <w:sectPr>
      <w:pgSz w:w="12240" w:h="15840"/>
      <w:pgMar w:top="1440" w:right="1587" w:bottom="1440"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Consolas">
    <w:panose1 w:val="020B0609020204030204"/>
    <w:charset w:val="00"/>
    <w:family w:val="auto"/>
    <w:pitch w:val="default"/>
    <w:sig w:usb0="E00006FF" w:usb1="0000FCFF" w:usb2="00000001" w:usb3="00000000" w:csb0="6000019F" w:csb1="DFD7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792976F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1010</Words>
  <Characters>7160</Characters>
  <Lines>0</Lines>
  <Paragraphs>0</Paragraphs>
  <TotalTime>0</TotalTime>
  <ScaleCrop>false</ScaleCrop>
  <LinksUpToDate>false</LinksUpToDate>
  <CharactersWithSpaces>8050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王永威</cp:lastModifiedBy>
  <dcterms:modified xsi:type="dcterms:W3CDTF">2026-09-14T12:53:50Z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eyJoZGlkIjoiMzEwNTM5NzYwMDRjMzkwZTVkZjY2ODkwMGIxNGU0OTUiLCJ1c2VySWQiOiI1NzY5NTM3MzUifQ==</vt:lpwstr>
  </property>
  <property fmtid="{D5CDD505-2E9C-101B-9397-08002B2CF9AE}" pid="3" name="KSOProductBuildVer">
    <vt:lpwstr>2052-12.1.0.28505</vt:lpwstr>
  </property>
  <property fmtid="{D5CDD505-2E9C-101B-9397-08002B2CF9AE}" pid="4" name="ICV">
    <vt:lpwstr>48A7D759FDE74B459B82E923A804145C_12</vt:lpwstr>
  </property>
</Properties>
</file>