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6EF5B">
      <w:pPr>
        <w:jc w:val="center"/>
      </w:pPr>
      <w:r>
        <w:rPr>
          <w:rFonts w:ascii="Times New Roman" w:hAnsi="Times New Roman"/>
          <w:b/>
          <w:sz w:val="22"/>
        </w:rPr>
        <w:t>Supplementary Table S2. Characteristics of the 44 included studies.</w:t>
      </w:r>
    </w:p>
    <w:tbl>
      <w:tblPr>
        <w:tblStyle w:val="33"/>
        <w:tblW w:w="5234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1426"/>
        <w:gridCol w:w="1390"/>
        <w:gridCol w:w="1760"/>
        <w:gridCol w:w="1669"/>
        <w:gridCol w:w="5532"/>
        <w:gridCol w:w="1619"/>
        <w:gridCol w:w="1131"/>
      </w:tblGrid>
      <w:tr w14:paraId="75FB8D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D020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No.</w:t>
            </w:r>
          </w:p>
        </w:tc>
        <w:tc>
          <w:tcPr>
            <w:tcW w:w="47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5F0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Study</w:t>
            </w:r>
          </w:p>
        </w:tc>
        <w:tc>
          <w:tcPr>
            <w:tcW w:w="46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862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Country/region</w:t>
            </w:r>
          </w:p>
        </w:tc>
        <w:tc>
          <w:tcPr>
            <w:tcW w:w="58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A58D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Design</w:t>
            </w:r>
          </w:p>
        </w:tc>
        <w:tc>
          <w:tcPr>
            <w:tcW w:w="55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FD0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Sample size N (PPI-exposed n)</w:t>
            </w:r>
          </w:p>
        </w:tc>
        <w:tc>
          <w:tcPr>
            <w:tcW w:w="184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DC8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ICI regimen</w:t>
            </w:r>
          </w:p>
        </w:tc>
        <w:tc>
          <w:tcPr>
            <w:tcW w:w="53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483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PPI exposure window</w:t>
            </w:r>
          </w:p>
        </w:tc>
        <w:tc>
          <w:tcPr>
            <w:tcW w:w="37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BBE6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b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b/>
                <w:sz w:val="18"/>
                <w:szCs w:val="18"/>
              </w:rPr>
              <w:t>Outcomes</w:t>
            </w:r>
          </w:p>
        </w:tc>
      </w:tr>
      <w:tr w14:paraId="0B952C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5BC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</w:t>
            </w:r>
          </w:p>
        </w:tc>
        <w:tc>
          <w:tcPr>
            <w:tcW w:w="47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878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Hopkins 2022b</w:t>
            </w: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2A2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Multinational</w:t>
            </w:r>
          </w:p>
        </w:tc>
        <w:tc>
          <w:tcPr>
            <w:tcW w:w="58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D24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IPD pooled analysis of 5 RCTs</w:t>
            </w:r>
          </w:p>
        </w:tc>
        <w:tc>
          <w:tcPr>
            <w:tcW w:w="55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7D778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4,458 (1,224)</w:t>
            </w:r>
          </w:p>
        </w:tc>
        <w:tc>
          <w:tcPr>
            <w:tcW w:w="184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7E5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Atezolizumab (± chemotherapy/bevacizumab)</w:t>
            </w:r>
          </w:p>
        </w:tc>
        <w:tc>
          <w:tcPr>
            <w:tcW w:w="53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D423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 (± 30 d)</w:t>
            </w:r>
          </w:p>
        </w:tc>
        <w:tc>
          <w:tcPr>
            <w:tcW w:w="37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005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1A93CE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8A7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9115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Chalabi 2020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670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Multinatio</w:t>
            </w:r>
            <w:bookmarkStart w:id="0" w:name="_GoBack"/>
            <w:bookmarkEnd w:id="0"/>
            <w:r>
              <w:rPr>
                <w:rFonts w:ascii="Times New Roman" w:hAnsi="Times New Roman" w:eastAsia="ＭＳ 明朝"/>
                <w:sz w:val="18"/>
                <w:szCs w:val="18"/>
              </w:rPr>
              <w:t>nal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49F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Post hoc analysis of RCTs (OAK + POPLAR)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92C7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757 (234)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2621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Atezolizumab vs. docetaxel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6DE5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EB7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1620916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51AC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D0B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Hopkins 2022a (IMpower150) a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DD06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Multinational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B4E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Post hoc analysis of RCT (IMpower150)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1ED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1,202 (441)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9C6C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Atezolizumab + chemotherapy ± bevacizumab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FCCD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EA2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1E05825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C892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CA46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Brunetti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3C8D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Multinational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FD0F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Post hoc analysis of RCT (PACIFIC)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062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660 (264)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5B0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Durvalumab consolidation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7B7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231C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783B16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9C9B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78D4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Cortellini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CDB9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Italy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032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FC6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950 (474)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DE7B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 monotherapy (first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9FB7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1BD5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</w:t>
            </w:r>
          </w:p>
        </w:tc>
      </w:tr>
      <w:tr w14:paraId="4DB1CD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B4A0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1AF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Baek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05B3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South Korea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BE8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database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B85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1,646 (823)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DA70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C14D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Pre-treatment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120D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4399777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117A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095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Stokes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75A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BCC7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database (VA)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F1AA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3,634 (2,159)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C87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PD-1/PD-L1 inhibitors (agents not specified)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8D2D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41FC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6E3EDC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F073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055F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Miura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E693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371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3DBB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300 (163)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91BE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 (monotherapy)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F7D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9F59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ORR, irAE</w:t>
            </w:r>
          </w:p>
        </w:tc>
      </w:tr>
      <w:tr w14:paraId="0337D3E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DB65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B01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Hakozaki 2019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080E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315E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234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90 (47)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A519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C3EB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13A5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14BFA9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9D0F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C1B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Svaton 2020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F92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Czech Republic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DC2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6079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224 (64)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5E5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7EA1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188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11A4D88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E88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2FD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Zhao 2019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8D0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C78B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1061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109 (40)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1F9E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7ACA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Within 1 month before/after initiation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FD4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DCR</w:t>
            </w:r>
          </w:p>
        </w:tc>
      </w:tr>
      <w:tr w14:paraId="5EEEB1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325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6459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Peng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41B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3B86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A19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117 (46)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F38C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00B5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 (≥ 14 d)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31DF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5A2E33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F0A0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116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Conde-Estévez 2020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3777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Spain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6958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42A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70 (59)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CAC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PD-1/PD-L1 monotherapy (agents not specified)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2173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7D1B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irAE</w:t>
            </w:r>
          </w:p>
        </w:tc>
      </w:tr>
      <w:tr w14:paraId="1ABD57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FCA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585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Hossain 2020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443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Australia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DF95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303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63 (34)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335D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Not specified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113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28C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5B7B35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161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B1C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Kulkarni 2019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698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8660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241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148 (57)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6ACF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Anti-PD-1/PD-L1 (agents not specified)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419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Within 1 month before or during 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327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5CF38D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F67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E65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Routy 2018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13B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France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9C71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1B0A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140 (NR) f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DA60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Anti-PD-1 (predominantly nivolumab)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5CA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674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48E006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5AD5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6A7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Takada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4AB6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E0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 (postoperative recurrence)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52C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95 (37)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939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 (43%)/pembrolizumab ± chemotherapy (46%)/atezolizumab (10%)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3B7A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6C40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DCR</w:t>
            </w:r>
          </w:p>
        </w:tc>
      </w:tr>
      <w:tr w14:paraId="5BC209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8559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059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Isono 2024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99AB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44B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522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381 (168)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9E6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Nivolumab/pembrolizumab/atezolizumab/durvalumab, etc. (± chemotherapy)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D6DF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435E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457E1D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DF7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7CD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Kawachi 2023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25E2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AA5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 (PD-L1 ≥ 50%)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EB0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425 (95) b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7907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 monotherapy vs. ICI + chemotherapy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B4C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 (± 30 d)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A56C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PFS</w:t>
            </w:r>
          </w:p>
        </w:tc>
      </w:tr>
      <w:tr w14:paraId="1947EB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1096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68CC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Japelj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767F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Slovenia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4F5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 (consecutive patients)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5C6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391 (220)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78A2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 (76%)/atezolizumab (15%)/nivolumab (9%)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5C6F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± 30 d (additionally stratified by cumulative DDD)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953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1CC860D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9871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A717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Karatlı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D9E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Turkey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1839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FCF3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179 (94)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F29D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 monotherapy (second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3D17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± 30 d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754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6FB7B1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5FF1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6A23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Hendem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A65B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Turkey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AB94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6DAD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164 (85)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C890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 monotherapy (second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A800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F687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DCR</w:t>
            </w:r>
          </w:p>
        </w:tc>
      </w:tr>
      <w:tr w14:paraId="4B7813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F1C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ADD9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Miyamoto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9A69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B6D7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 (first line)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7DF6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228 (81)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A4B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ICI monotherapy or ICI + chemotherapy (agents not specified)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52BE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AEE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irAE</w:t>
            </w:r>
          </w:p>
        </w:tc>
      </w:tr>
      <w:tr w14:paraId="0D34E8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0D5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57C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Hori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54E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7CF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EFC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132 (53)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91B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1954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± 30 d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0E8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28FBD5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1AE9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F964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Takahashi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96A3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16D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C01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289 (121)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90F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 (monotherapy 66%/combination 34%)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92F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34C2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07D77E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B16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F34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Ma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21D1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25E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D62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229 (131)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DBC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ICI monotherapy or ICI + chemotherapy (pembrolizumab/atezolizumab, etc.; first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318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Peri-treatment (including ≤ 1 d)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65A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</w:t>
            </w:r>
          </w:p>
        </w:tc>
      </w:tr>
      <w:tr w14:paraId="19958EC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5A19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DE74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Saiki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38E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8E4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2AC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124 (57)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68B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 (first line, ± chemotherapy)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2208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CEDD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irAE</w:t>
            </w:r>
          </w:p>
        </w:tc>
      </w:tr>
      <w:tr w14:paraId="5B52131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743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767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Yamada 2024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F440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C15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98AA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127 (39)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7DA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 (± chemotherapy)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D1A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880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</w:t>
            </w:r>
          </w:p>
        </w:tc>
      </w:tr>
      <w:tr w14:paraId="068CF03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9132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E5D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Niu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94D6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7E67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(TriNetX database)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696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622 (311) c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E60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By class: PD-1 (nivolumab/pembrolizumab/cemiplimab) and PD-L1 (atezolizumab/durvalumab/avelumab)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9276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A3B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75B3B7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528C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697E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Bai 2024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020E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6EA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127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200 (100)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B47E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Pembrolizumab/nivolumab,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5A4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Within 30 d before enrollment (≥ 7 d of use)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270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irAE</w:t>
            </w:r>
          </w:p>
        </w:tc>
      </w:tr>
      <w:tr w14:paraId="7F2F72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4C3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550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Tomita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1163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18E4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8EF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118 (72)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7857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0C33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± 30 d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215C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DCR</w:t>
            </w:r>
          </w:p>
        </w:tc>
      </w:tr>
      <w:tr w14:paraId="1AD922F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2EA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A48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Hamada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21C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47F0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32BD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69 (36)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7F05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 (anti-PD-1 monotherapy)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6DB3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Baseline/on-treatment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0D3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DCR</w:t>
            </w:r>
          </w:p>
        </w:tc>
      </w:tr>
      <w:tr w14:paraId="6F5FCF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1970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F52D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Rounis 2021 d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AE9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Greece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AFEF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DDD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66 (23)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5376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 (second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CD5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Pre-treatment (≥ 3 months)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DC3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Qualitative only</w:t>
            </w:r>
          </w:p>
        </w:tc>
      </w:tr>
      <w:tr w14:paraId="31693A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311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351C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Hong 2024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DA2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South Korea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32B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database (HIRA)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7E5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7,128 (2,125)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FB60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 (second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8F8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712C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0B7599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66C1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E13E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Husain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43DC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444D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FB4E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414 (149)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6701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Not specified (± CTLA-4 inhibitor/chemotherapy)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6784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20D6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548E82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A6B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B873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Liu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247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4B3B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2388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98 (34) 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4096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Sintilimab/camrelizumab/tislelizumab/toripalimab/pembrolizumab/nivolumab (mono or combination)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C73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Within 1 month before/after initiation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717B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ORR, DCR g</w:t>
            </w:r>
          </w:p>
        </w:tc>
      </w:tr>
      <w:tr w14:paraId="67C555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859B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1A16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Wei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9869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A36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FA8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112 (42)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CB3F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Pembrolizumab/nivolumab/atezolizumab/camrelizumab,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F64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± 30 d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DAE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OS, PFS, ORR g, DCR, irAE</w:t>
            </w:r>
          </w:p>
        </w:tc>
      </w:tr>
      <w:tr w14:paraId="0945A16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090F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0A59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Luo 2024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2AD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3BDD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single-center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6B95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656 (NR)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890B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Pembrolizumab/sintilimab/camrelizumab/tislelizumab, etc. (± combination)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FA35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EAB6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PFS</w:t>
            </w:r>
          </w:p>
        </w:tc>
      </w:tr>
      <w:tr w14:paraId="31B908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EB8F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7724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Du 2022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F362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China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FD7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 case-control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411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103 (40)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FE9A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 (55%)/nivolumab (23%)/sintilimab (12%)/durvalumab (6%), etc.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BF9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 (concurrent use)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6E2C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irAE (AKI)</w:t>
            </w:r>
          </w:p>
        </w:tc>
      </w:tr>
      <w:tr w14:paraId="6AFA7C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DEBF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FEB7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Rousseau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5FC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France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0EF1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Nationwide database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304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31,257 (16,783)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1839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 (first line, ± chemotherapy)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DFAC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30 d before to 42 d after initiation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53A4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3425E71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DD06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74B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Brinzevich 2025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79D0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USA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CF90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database (VHA) with negative controls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0AF8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3,739 (1,159)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697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Pembrolizumab/nivolumab monotherapy or pembrolizumab + chemotherapy (first/second line)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764C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Baseline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7E0C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2C02CA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518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AAA6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Verschueren 2021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5105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Netherlands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64E3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matched cohort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7157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221 (96)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ACB2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Nivolumab/pembrolizumab/atezolizumab/durvalumab (monotherapy)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F04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On-treatment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00D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OS</w:t>
            </w:r>
          </w:p>
        </w:tc>
      </w:tr>
      <w:tr w14:paraId="63D7396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348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5C6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Toda 2026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A9D2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Japan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1524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Retrospective, multicenter (neoadjuvant)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EA09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113 (23)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081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Nivolumab + chemotherapy (neoadjuvant)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045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Within 30 d before treatment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86E7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ORR, pCR, MPR</w:t>
            </w:r>
          </w:p>
        </w:tc>
      </w:tr>
      <w:tr w14:paraId="76E428B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0DD8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44</w:t>
            </w:r>
          </w:p>
        </w:tc>
        <w:tc>
          <w:tcPr>
            <w:tcW w:w="47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9D9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Cortellini 2026 (LCMC3) d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85E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Multinational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52A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Post hoc analysis of the LCMC3 trial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8AD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181 (34)</w:t>
            </w:r>
          </w:p>
        </w:tc>
        <w:tc>
          <w:tcPr>
            <w:tcW w:w="184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B8A5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Atezolizumab (neoadjuvant)</w:t>
            </w:r>
          </w:p>
        </w:tc>
        <w:tc>
          <w:tcPr>
            <w:tcW w:w="53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61FD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30/60 d before treatment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1537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ＭＳ 明朝"/>
                <w:sz w:val="18"/>
                <w:szCs w:val="18"/>
              </w:rPr>
            </w:pPr>
            <w:r>
              <w:rPr>
                <w:rFonts w:ascii="Times New Roman" w:hAnsi="Times New Roman" w:eastAsia="ＭＳ 明朝"/>
                <w:sz w:val="18"/>
                <w:szCs w:val="18"/>
              </w:rPr>
              <w:t>Qualitative only</w:t>
            </w:r>
          </w:p>
        </w:tc>
      </w:tr>
    </w:tbl>
    <w:p w14:paraId="3722CE42">
      <w:pPr>
        <w:rPr>
          <w:rFonts w:ascii="Times New Roman" w:hAnsi="Times New Roman"/>
          <w:b w:val="0"/>
          <w:sz w:val="22"/>
          <w:szCs w:val="22"/>
        </w:rPr>
      </w:pPr>
    </w:p>
    <w:p w14:paraId="20E5455A">
      <w:pPr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Abbreviations</w:t>
      </w:r>
      <w:r>
        <w:rPr>
          <w:rFonts w:ascii="Times New Roman" w:hAnsi="Times New Roman"/>
          <w:b w:val="0"/>
          <w:sz w:val="22"/>
          <w:szCs w:val="22"/>
        </w:rPr>
        <w:t>: ICI, immune checkpoint inhibitor; PD-1, programmed death-1; PD-L1, programmed death-ligand 1; OS, overall survival; PFS, progression-free survival; ORR, objective response rate; DCR, disease control rate; irAE, immune-related adverse event; AKI, acute kidney injury; pCR, pathological complete response; MPR, major pathological response; RCT, randomized controlled trial; IPD, individual participant data; VA, US Department of Veterans Affairs; VHA, Veterans Health Administration; HIRA, Korean Health Insurance Review and Assessment Service; TriNetX, multi-institutional real-world data network; DDD, defined daily dose; d, days; NR, not reported.</w:t>
      </w:r>
    </w:p>
    <w:p w14:paraId="4AD4C31F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a Study population included in the Hopkins 2022b IPD pooled analysis; not entered into the primary meta-analysis, used only as corroboration of effect direction (the same applies to Chalabi 2020 for survival outcomes).</w:t>
      </w:r>
    </w:p>
    <w:p w14:paraId="304FD2D0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b PPI users within the pembrolizumab monotherapy subgroup (n = 271).</w:t>
      </w:r>
    </w:p>
    <w:p w14:paraId="316AEE01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c NSCLC PD-1 subgroup after propensity score matching (311 PPI users vs. 311 non-users); the overall database study comprised &gt; 35,621 patients.</w:t>
      </w:r>
    </w:p>
    <w:p w14:paraId="720F981E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d Included in qualitative synthesis only.</w:t>
      </w:r>
    </w:p>
    <w:p w14:paraId="5EFB70AC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e Lung cancer subgroup of the overall study population (total N = 204).</w:t>
      </w:r>
    </w:p>
    <w:p w14:paraId="754C3366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f NSCLC subgroup of a 249-patient cohort that also included renal cell and urothelial carcinoma.</w:t>
      </w:r>
    </w:p>
    <w:p w14:paraId="6E5C2E67">
      <w:pPr>
        <w:rPr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g Outcome pending verification against the original extraction dataset (see accompanying query list).</w:t>
      </w:r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1B4507"/>
    <w:rsid w:val="3E6B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1006</Words>
  <Characters>6780</Characters>
  <Lines>0</Lines>
  <Paragraphs>0</Paragraphs>
  <TotalTime>13</TotalTime>
  <ScaleCrop>false</ScaleCrop>
  <LinksUpToDate>false</LinksUpToDate>
  <CharactersWithSpaces>7417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2026-08-26T08:46:46Z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eyJoZGlkIjoiNjA4YTA3M2E0ZWQ0NzRmZjcxZTE1YThlNWMxZDRhNDEiLCJ1c2VySWQiOiIyMTQ2MzAyMDYifQ==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26F7D665469D44C7944559B31D849A36_13</vt:lpwstr>
  </property>
</Properties>
</file>