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1746DFD">
      <w:pPr>
        <w:pStyle w:val="2"/>
        <w:tabs>
          <w:tab w:val="left" w:pos="4830"/>
        </w:tabs>
        <w:spacing w:after="160"/>
        <w:jc w:val="center"/>
      </w:pPr>
      <w:r>
        <w:rPr>
          <w:rFonts w:ascii="Times New Roman" w:hAnsi="Times New Roman" w:eastAsia="Times New Roman" w:cs="Times New Roman"/>
          <w:b/>
          <w:bCs/>
          <w:color w:val="000000" w:themeColor="text1"/>
          <w:sz w:val="22"/>
          <w:szCs w:val="22"/>
          <w14:textFill>
            <w14:solidFill>
              <w14:schemeClr w14:val="tx1"/>
            </w14:solidFill>
          </w14:textFill>
        </w:rPr>
        <w:t>Supplementary Table S1. Complete search strategies for the seven databases (from database inception to August 2026).</w:t>
      </w:r>
    </w:p>
    <w:tbl>
      <w:tblPr>
        <w:tblStyle w:val="11"/>
        <w:tblW w:w="9226" w:type="dxa"/>
        <w:jc w:val="center"/>
        <w:tblBorders>
          <w:top w:val="none" w:color="auto" w:sz="4" w:space="0"/>
          <w:left w:val="none" w:color="auto" w:sz="4" w:space="0"/>
          <w:bottom w:val="none" w:color="auto" w:sz="4" w:space="0"/>
          <w:right w:val="none" w:color="auto" w:sz="4" w:space="0"/>
          <w:insideH w:val="none" w:color="auto" w:sz="4" w:space="0"/>
          <w:insideV w:val="none" w:color="auto" w:sz="4" w:space="0"/>
        </w:tblBorders>
        <w:tblLayout w:type="autofit"/>
        <w:tblCellMar>
          <w:top w:w="0" w:type="dxa"/>
          <w:left w:w="10" w:type="dxa"/>
          <w:bottom w:w="0" w:type="dxa"/>
          <w:right w:w="10" w:type="dxa"/>
        </w:tblCellMar>
      </w:tblPr>
      <w:tblGrid>
        <w:gridCol w:w="1792"/>
        <w:gridCol w:w="7434"/>
      </w:tblGrid>
      <w:tr w14:paraId="034910BE">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 w:type="dxa"/>
            <w:bottom w:w="0" w:type="dxa"/>
            <w:right w:w="10" w:type="dxa"/>
          </w:tblCellMar>
        </w:tblPrEx>
        <w:trPr>
          <w:trHeight w:val="0" w:hRule="atLeast"/>
          <w:tblHeader/>
          <w:jc w:val="center"/>
        </w:trPr>
        <w:tc>
          <w:tcPr>
            <w:tcW w:w="0" w:type="auto"/>
            <w:tcBorders>
              <w:top w:val="single" w:color="auto" w:sz="12" w:space="0"/>
              <w:left w:val="nil"/>
              <w:bottom w:val="nil"/>
              <w:right w:val="nil"/>
            </w:tcBorders>
            <w:shd w:val="clear" w:color="auto" w:fill="FFFFFF" w:themeFill="background1"/>
            <w:noWrap w:val="0"/>
            <w:tcMar>
              <w:top w:w="60" w:type="dxa"/>
              <w:left w:w="100" w:type="dxa"/>
              <w:bottom w:w="60" w:type="dxa"/>
              <w:right w:w="100" w:type="dxa"/>
            </w:tcMar>
            <w:vAlign w:val="center"/>
          </w:tcPr>
          <w:p w14:paraId="5D7A6FBD">
            <w:pPr>
              <w:snapToGrid w:val="0"/>
              <w:spacing w:after="40" w:line="360" w:lineRule="auto"/>
              <w:ind w:left="0" w:leftChars="0" w:right="0" w:rightChars="0" w:firstLine="0" w:firstLineChars="0"/>
              <w:jc w:val="center"/>
              <w:rPr>
                <w:rFonts w:ascii="Times New Roman" w:eastAsia="Times New Roman"/>
                <w:b/>
                <w:sz w:val="24"/>
                <w:szCs w:val="24"/>
              </w:rPr>
            </w:pPr>
            <w:r>
              <w:rPr>
                <w:rFonts w:ascii="Times New Roman" w:hAnsi="Times New Roman" w:eastAsia="Times New Roman" w:cs="Times New Roman"/>
                <w:b/>
                <w:bCs/>
                <w:sz w:val="24"/>
                <w:szCs w:val="24"/>
              </w:rPr>
              <w:t>Database</w:t>
            </w:r>
          </w:p>
        </w:tc>
        <w:tc>
          <w:tcPr>
            <w:tcW w:w="7434" w:type="dxa"/>
            <w:tcBorders>
              <w:top w:val="single" w:color="auto" w:sz="12" w:space="0"/>
              <w:left w:val="nil"/>
              <w:bottom w:val="nil"/>
              <w:right w:val="nil"/>
            </w:tcBorders>
            <w:shd w:val="clear" w:color="auto" w:fill="FFFFFF" w:themeFill="background1"/>
            <w:noWrap w:val="0"/>
            <w:tcMar>
              <w:top w:w="60" w:type="dxa"/>
              <w:left w:w="100" w:type="dxa"/>
              <w:bottom w:w="60" w:type="dxa"/>
              <w:right w:w="100" w:type="dxa"/>
            </w:tcMar>
            <w:vAlign w:val="center"/>
          </w:tcPr>
          <w:p w14:paraId="10FD3F2F">
            <w:pPr>
              <w:snapToGrid w:val="0"/>
              <w:spacing w:after="40" w:line="360" w:lineRule="auto"/>
              <w:ind w:left="0" w:leftChars="0" w:right="0" w:rightChars="0" w:firstLine="0" w:firstLineChars="0"/>
              <w:jc w:val="center"/>
              <w:rPr>
                <w:rFonts w:ascii="Times New Roman" w:eastAsia="Times New Roman"/>
                <w:b/>
                <w:sz w:val="24"/>
                <w:szCs w:val="24"/>
              </w:rPr>
            </w:pPr>
            <w:r>
              <w:rPr>
                <w:rFonts w:ascii="Times New Roman" w:hAnsi="Times New Roman" w:eastAsia="Times New Roman" w:cs="Times New Roman"/>
                <w:b/>
                <w:bCs/>
                <w:sz w:val="24"/>
                <w:szCs w:val="24"/>
              </w:rPr>
              <w:t>Searchstrategy</w:t>
            </w:r>
          </w:p>
        </w:tc>
      </w:tr>
      <w:tr w14:paraId="5A7027EB">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 w:type="dxa"/>
            <w:bottom w:w="0" w:type="dxa"/>
            <w:right w:w="10" w:type="dxa"/>
          </w:tblCellMar>
        </w:tblPrEx>
        <w:trPr>
          <w:trHeight w:val="0" w:hRule="atLeast"/>
          <w:jc w:val="center"/>
        </w:trPr>
        <w:tc>
          <w:tcPr>
            <w:tcW w:w="0" w:type="auto"/>
            <w:tcBorders>
              <w:top w:val="single" w:color="auto" w:sz="4" w:space="0"/>
              <w:left w:val="nil"/>
              <w:bottom w:val="nil"/>
              <w:right w:val="nil"/>
            </w:tcBorders>
            <w:shd w:val="clear" w:color="auto" w:fill="FFFFFF" w:themeFill="background1"/>
            <w:noWrap w:val="0"/>
            <w:tcMar>
              <w:top w:w="60" w:type="dxa"/>
              <w:left w:w="100" w:type="dxa"/>
              <w:bottom w:w="60" w:type="dxa"/>
              <w:right w:w="100" w:type="dxa"/>
            </w:tcMar>
            <w:vAlign w:val="center"/>
          </w:tcPr>
          <w:p w14:paraId="61045FB7">
            <w:pPr>
              <w:snapToGrid w:val="0"/>
              <w:spacing w:after="40" w:line="360" w:lineRule="auto"/>
              <w:ind w:left="0" w:leftChars="0" w:right="0" w:rightChars="0" w:firstLine="0" w:firstLineChars="0"/>
              <w:jc w:val="left"/>
              <w:rPr>
                <w:rFonts w:ascii="Times New Roman" w:eastAsia="Times New Roman"/>
                <w:sz w:val="24"/>
                <w:szCs w:val="24"/>
              </w:rPr>
            </w:pPr>
            <w:r>
              <w:rPr>
                <w:rFonts w:ascii="Times New Roman" w:hAnsi="Times New Roman" w:eastAsia="Times New Roman" w:cs="Times New Roman"/>
                <w:b w:val="0"/>
                <w:bCs w:val="0"/>
                <w:sz w:val="24"/>
                <w:szCs w:val="24"/>
              </w:rPr>
              <w:t>PubMed</w:t>
            </w:r>
          </w:p>
        </w:tc>
        <w:tc>
          <w:tcPr>
            <w:tcW w:w="7434" w:type="dxa"/>
            <w:tcBorders>
              <w:top w:val="single" w:color="auto" w:sz="4" w:space="0"/>
              <w:left w:val="nil"/>
              <w:bottom w:val="nil"/>
              <w:right w:val="nil"/>
            </w:tcBorders>
            <w:shd w:val="clear" w:color="auto" w:fill="FFFFFF" w:themeFill="background1"/>
            <w:noWrap w:val="0"/>
            <w:tcMar>
              <w:top w:w="60" w:type="dxa"/>
              <w:left w:w="100" w:type="dxa"/>
              <w:bottom w:w="60" w:type="dxa"/>
              <w:right w:w="100" w:type="dxa"/>
            </w:tcMar>
            <w:vAlign w:val="center"/>
          </w:tcPr>
          <w:p w14:paraId="09C66137">
            <w:pPr>
              <w:snapToGrid w:val="0"/>
              <w:spacing w:after="40" w:line="360" w:lineRule="auto"/>
              <w:ind w:left="0" w:leftChars="0" w:right="0" w:rightChars="0" w:firstLine="0" w:firstLineChars="0"/>
              <w:jc w:val="left"/>
              <w:rPr>
                <w:rFonts w:ascii="Times New Roman" w:eastAsia="Times New Roman"/>
                <w:sz w:val="24"/>
                <w:szCs w:val="24"/>
              </w:rPr>
            </w:pPr>
            <w:r>
              <w:rPr>
                <w:rFonts w:ascii="Times New Roman" w:hAnsi="Times New Roman" w:eastAsia="Times New Roman" w:cs="Times New Roman"/>
                <w:b w:val="0"/>
                <w:bCs w:val="0"/>
                <w:sz w:val="24"/>
                <w:szCs w:val="24"/>
              </w:rPr>
              <w:t>#1 "Carcinoma, Non-Small-Cell Lung"[Mesh] OR "non-small cell lung cancer"[tiab] OR "non small cell lung cancer"[tiab] OR "non-small-cell lung carcinoma"[tiab] OR NSCLC[tiab] OR "lung ade</w:t>
            </w:r>
            <w:bookmarkStart w:id="0" w:name="_GoBack"/>
            <w:bookmarkEnd w:id="0"/>
            <w:r>
              <w:rPr>
                <w:rFonts w:ascii="Times New Roman" w:hAnsi="Times New Roman" w:eastAsia="Times New Roman" w:cs="Times New Roman"/>
                <w:b w:val="0"/>
                <w:bCs w:val="0"/>
                <w:sz w:val="24"/>
                <w:szCs w:val="24"/>
              </w:rPr>
              <w:t>nocarcinoma"[tiab] OR "lung squamous cell carcinoma"[tiab]</w:t>
            </w:r>
          </w:p>
          <w:p w14:paraId="52E3A75D">
            <w:pPr>
              <w:snapToGrid w:val="0"/>
              <w:spacing w:after="40" w:line="360" w:lineRule="auto"/>
              <w:ind w:left="0" w:leftChars="0" w:right="0" w:rightChars="0" w:firstLine="0" w:firstLineChars="0"/>
              <w:jc w:val="left"/>
              <w:rPr>
                <w:rFonts w:ascii="Times New Roman" w:eastAsia="Times New Roman"/>
                <w:sz w:val="24"/>
                <w:szCs w:val="24"/>
              </w:rPr>
            </w:pPr>
            <w:r>
              <w:rPr>
                <w:rFonts w:ascii="Times New Roman" w:hAnsi="Times New Roman" w:eastAsia="Times New Roman" w:cs="Times New Roman"/>
                <w:b w:val="0"/>
                <w:bCs w:val="0"/>
                <w:sz w:val="24"/>
                <w:szCs w:val="24"/>
              </w:rPr>
              <w:t>#2 "Immune Checkpoint Inhibitors"[Mesh] OR "Programmed Cell Death 1 Receptor"[Mesh] OR "Programmed Cell Death 1 Ligand 1 Protein"[Mesh] OR "CTLA-4 Antigen"[Mesh] OR "immune checkpoint inhibitor*"[tiab] OR immunotherapy[tiab] OR PD-1[tiab] OR PD-L1[tiab] OR PD1[tiab] OR PDL1[tiab] OR CTLA-4[tiab] OR CTLA4[tiab] OR nivolumab[tiab] OR pembrolizumab[tiab] OR atezolizumab[tiab] OR durvalumab[tiab] OR cemiplimab[tiab] OR avelumab[tiab] OR ipilimumab[tiab] OR tremelimumab[tiab] OR camrelizumab[tiab] OR sintilimab[tiab] OR tislelizumab[tiab] OR toripalimab[tiab] OR sugemalimab[tiab] OR serplulimab[tiab] OR penpulimab[tiab]</w:t>
            </w:r>
          </w:p>
          <w:p w14:paraId="435DC518">
            <w:pPr>
              <w:snapToGrid w:val="0"/>
              <w:spacing w:after="40" w:line="360" w:lineRule="auto"/>
              <w:ind w:left="0" w:leftChars="0" w:right="0" w:rightChars="0" w:firstLine="0" w:firstLineChars="0"/>
              <w:jc w:val="left"/>
              <w:rPr>
                <w:rFonts w:ascii="Times New Roman" w:eastAsia="Times New Roman"/>
                <w:sz w:val="24"/>
                <w:szCs w:val="24"/>
              </w:rPr>
            </w:pPr>
            <w:r>
              <w:rPr>
                <w:rFonts w:ascii="Times New Roman" w:hAnsi="Times New Roman" w:eastAsia="Times New Roman" w:cs="Times New Roman"/>
                <w:b w:val="0"/>
                <w:bCs w:val="0"/>
                <w:sz w:val="24"/>
                <w:szCs w:val="24"/>
              </w:rPr>
              <w:t>#3 "Proton Pump Inhibitors"[Mesh] OR "proton pump inhibitor*"[tiab] OR PPI[tiab] OR PPIs[tiab] OR omeprazole[tiab] OR esomeprazole[tiab] OR pantoprazole[tiab] OR rabeprazole[tiab] OR lansoprazole[tiab] OR dexlansoprazole[tiab] OR ilaprazole[tiab] OR vonoprazan[tiab] OR "acid suppressant*"[tiab] OR "gastric acid suppress*"[tiab]</w:t>
            </w:r>
          </w:p>
          <w:p w14:paraId="319FDCAF">
            <w:pPr>
              <w:snapToGrid w:val="0"/>
              <w:spacing w:after="40" w:line="360" w:lineRule="auto"/>
              <w:ind w:left="0" w:leftChars="0" w:right="0" w:rightChars="0" w:firstLine="0" w:firstLineChars="0"/>
              <w:jc w:val="left"/>
              <w:rPr>
                <w:rFonts w:ascii="Times New Roman" w:eastAsia="Times New Roman"/>
                <w:sz w:val="24"/>
                <w:szCs w:val="24"/>
              </w:rPr>
            </w:pPr>
            <w:r>
              <w:rPr>
                <w:rFonts w:ascii="Times New Roman" w:hAnsi="Times New Roman" w:eastAsia="Times New Roman" w:cs="Times New Roman"/>
                <w:b w:val="0"/>
                <w:bCs w:val="0"/>
                <w:sz w:val="24"/>
                <w:szCs w:val="24"/>
              </w:rPr>
              <w:t>#4 #1 AND #2 AND #3</w:t>
            </w:r>
          </w:p>
        </w:tc>
      </w:tr>
      <w:tr w14:paraId="4F45EC7B">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 w:type="dxa"/>
            <w:bottom w:w="0" w:type="dxa"/>
            <w:right w:w="10" w:type="dxa"/>
          </w:tblCellMar>
        </w:tblPrEx>
        <w:trPr>
          <w:trHeight w:val="0" w:hRule="atLeast"/>
          <w:jc w:val="center"/>
        </w:trPr>
        <w:tc>
          <w:tcPr>
            <w:tcW w:w="0" w:type="auto"/>
            <w:tcBorders>
              <w:top w:val="nil"/>
              <w:left w:val="nil"/>
              <w:bottom w:val="nil"/>
              <w:right w:val="nil"/>
            </w:tcBorders>
            <w:shd w:val="clear" w:color="auto" w:fill="FFFFFF" w:themeFill="background1"/>
            <w:noWrap w:val="0"/>
            <w:tcMar>
              <w:top w:w="60" w:type="dxa"/>
              <w:left w:w="100" w:type="dxa"/>
              <w:bottom w:w="60" w:type="dxa"/>
              <w:right w:w="100" w:type="dxa"/>
            </w:tcMar>
            <w:vAlign w:val="center"/>
          </w:tcPr>
          <w:p w14:paraId="0B4C50E2">
            <w:pPr>
              <w:snapToGrid w:val="0"/>
              <w:spacing w:after="40" w:line="360" w:lineRule="auto"/>
              <w:ind w:left="0" w:leftChars="0" w:right="0" w:rightChars="0" w:firstLine="0" w:firstLineChars="0"/>
              <w:jc w:val="left"/>
              <w:rPr>
                <w:rFonts w:ascii="Times New Roman" w:eastAsia="Times New Roman"/>
                <w:sz w:val="24"/>
                <w:szCs w:val="24"/>
              </w:rPr>
            </w:pPr>
            <w:r>
              <w:rPr>
                <w:rFonts w:ascii="Times New Roman" w:hAnsi="Times New Roman" w:eastAsia="Times New Roman" w:cs="Times New Roman"/>
                <w:b w:val="0"/>
                <w:bCs w:val="0"/>
                <w:sz w:val="24"/>
                <w:szCs w:val="24"/>
              </w:rPr>
              <w:t>Embase</w:t>
            </w:r>
          </w:p>
        </w:tc>
        <w:tc>
          <w:tcPr>
            <w:tcW w:w="7434" w:type="dxa"/>
            <w:tcBorders>
              <w:top w:val="nil"/>
              <w:left w:val="nil"/>
              <w:bottom w:val="nil"/>
              <w:right w:val="nil"/>
            </w:tcBorders>
            <w:shd w:val="clear" w:color="auto" w:fill="FFFFFF" w:themeFill="background1"/>
            <w:noWrap w:val="0"/>
            <w:tcMar>
              <w:top w:w="60" w:type="dxa"/>
              <w:left w:w="100" w:type="dxa"/>
              <w:bottom w:w="60" w:type="dxa"/>
              <w:right w:w="100" w:type="dxa"/>
            </w:tcMar>
            <w:vAlign w:val="center"/>
          </w:tcPr>
          <w:p w14:paraId="353C1571">
            <w:pPr>
              <w:snapToGrid w:val="0"/>
              <w:spacing w:after="40" w:line="360" w:lineRule="auto"/>
              <w:ind w:left="0" w:leftChars="0" w:right="0" w:rightChars="0" w:firstLine="0" w:firstLineChars="0"/>
              <w:jc w:val="left"/>
              <w:rPr>
                <w:rFonts w:ascii="Times New Roman" w:eastAsia="Times New Roman"/>
                <w:sz w:val="24"/>
                <w:szCs w:val="24"/>
              </w:rPr>
            </w:pPr>
            <w:r>
              <w:rPr>
                <w:rFonts w:ascii="Times New Roman" w:hAnsi="Times New Roman" w:eastAsia="Times New Roman" w:cs="Times New Roman"/>
                <w:b w:val="0"/>
                <w:bCs w:val="0"/>
                <w:sz w:val="24"/>
                <w:szCs w:val="24"/>
              </w:rPr>
              <w:t>#1 'non small cell lung cancer'/exp OR 'non-small cell lung cancer':ti,ab OR NSCLC:ti,ab OR 'lung adenocarcinoma':ti,ab OR 'lung squamous cell carcinoma':ti,ab</w:t>
            </w:r>
          </w:p>
          <w:p w14:paraId="0677A555">
            <w:pPr>
              <w:snapToGrid w:val="0"/>
              <w:spacing w:after="40" w:line="360" w:lineRule="auto"/>
              <w:ind w:left="0" w:leftChars="0" w:right="0" w:rightChars="0" w:firstLine="0" w:firstLineChars="0"/>
              <w:jc w:val="left"/>
              <w:rPr>
                <w:rFonts w:ascii="Times New Roman" w:eastAsia="Times New Roman"/>
                <w:sz w:val="24"/>
                <w:szCs w:val="24"/>
              </w:rPr>
            </w:pPr>
            <w:r>
              <w:rPr>
                <w:rFonts w:ascii="Times New Roman" w:hAnsi="Times New Roman" w:eastAsia="Times New Roman" w:cs="Times New Roman"/>
                <w:b w:val="0"/>
                <w:bCs w:val="0"/>
                <w:sz w:val="24"/>
                <w:szCs w:val="24"/>
              </w:rPr>
              <w:t>#2 'immune checkpoint inhibitor'/exp OR 'programmed death 1 receptor'/exp OR 'programmed death 1 ligand 1'/exp OR 'cytotoxic T lymphocyte antigen 4'/exp OR 'immune checkpoint inhibitor*':ti,ab OR immunotherapy:ti,ab OR 'PD-1':ti,ab OR 'PD-L1':ti,ab OR 'CTLA-4':ti,ab OR nivolumab:ti,ab OR pembrolizumab:ti,ab OR atezolizumab:ti,ab OR durvalumab:ti,ab OR cemiplimab:ti,ab OR avelumab:ti,ab OR ipilimumab:ti,ab OR tremelimumab:ti,ab OR camrelizumab:ti,ab OR sintilimab:ti,ab OR tislelizumab:ti,ab OR toripalimab:ti,ab OR sugemalimab:ti,ab OR serplulimab:ti,ab OR penpulimab:ti,ab</w:t>
            </w:r>
          </w:p>
          <w:p w14:paraId="75BACAF3">
            <w:pPr>
              <w:snapToGrid w:val="0"/>
              <w:spacing w:after="40" w:line="360" w:lineRule="auto"/>
              <w:ind w:left="0" w:leftChars="0" w:right="0" w:rightChars="0" w:firstLine="0" w:firstLineChars="0"/>
              <w:jc w:val="left"/>
              <w:rPr>
                <w:rFonts w:ascii="Times New Roman" w:eastAsia="Times New Roman"/>
                <w:sz w:val="24"/>
                <w:szCs w:val="24"/>
              </w:rPr>
            </w:pPr>
            <w:r>
              <w:rPr>
                <w:rFonts w:ascii="Times New Roman" w:hAnsi="Times New Roman" w:eastAsia="Times New Roman" w:cs="Times New Roman"/>
                <w:b w:val="0"/>
                <w:bCs w:val="0"/>
                <w:sz w:val="24"/>
                <w:szCs w:val="24"/>
              </w:rPr>
              <w:t>#3 'proton pump inhibitor'/exp OR omeprazole/exp OR esomeprazole/exp OR pantoprazole/exp OR rabeprazole/exp OR lansoprazole/exp OR dexlansoprazole/exp OR 'proton pump inhibitor*':ti,ab OR PPI:ti,ab OR PPIs:ti,ab OR ilaprazole:ti,ab OR vonoprazan:ti,ab OR 'acid suppressant*':ti,ab</w:t>
            </w:r>
          </w:p>
          <w:p w14:paraId="09D57E78">
            <w:pPr>
              <w:snapToGrid w:val="0"/>
              <w:spacing w:after="40" w:line="360" w:lineRule="auto"/>
              <w:ind w:left="0" w:leftChars="0" w:right="0" w:rightChars="0" w:firstLine="0" w:firstLineChars="0"/>
              <w:jc w:val="left"/>
              <w:rPr>
                <w:rFonts w:ascii="Times New Roman" w:eastAsia="Times New Roman"/>
                <w:sz w:val="24"/>
                <w:szCs w:val="24"/>
              </w:rPr>
            </w:pPr>
            <w:r>
              <w:rPr>
                <w:rFonts w:ascii="Times New Roman" w:hAnsi="Times New Roman" w:eastAsia="Times New Roman" w:cs="Times New Roman"/>
                <w:b w:val="0"/>
                <w:bCs w:val="0"/>
                <w:sz w:val="24"/>
                <w:szCs w:val="24"/>
              </w:rPr>
              <w:t>#4 #1 AND #2 AND #3</w:t>
            </w:r>
          </w:p>
        </w:tc>
      </w:tr>
      <w:tr w14:paraId="74C09510">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 w:type="dxa"/>
            <w:bottom w:w="0" w:type="dxa"/>
            <w:right w:w="10" w:type="dxa"/>
          </w:tblCellMar>
        </w:tblPrEx>
        <w:trPr>
          <w:trHeight w:val="0" w:hRule="atLeast"/>
          <w:jc w:val="center"/>
        </w:trPr>
        <w:tc>
          <w:tcPr>
            <w:tcW w:w="0" w:type="auto"/>
            <w:tcBorders>
              <w:top w:val="nil"/>
              <w:left w:val="nil"/>
              <w:bottom w:val="nil"/>
              <w:right w:val="nil"/>
            </w:tcBorders>
            <w:shd w:val="clear" w:color="auto" w:fill="FFFFFF" w:themeFill="background1"/>
            <w:noWrap w:val="0"/>
            <w:tcMar>
              <w:top w:w="60" w:type="dxa"/>
              <w:left w:w="100" w:type="dxa"/>
              <w:bottom w:w="60" w:type="dxa"/>
              <w:right w:w="100" w:type="dxa"/>
            </w:tcMar>
            <w:vAlign w:val="center"/>
          </w:tcPr>
          <w:p w14:paraId="77588B1E">
            <w:pPr>
              <w:snapToGrid w:val="0"/>
              <w:spacing w:after="40" w:line="360" w:lineRule="auto"/>
              <w:ind w:left="0" w:leftChars="0" w:right="0" w:rightChars="0" w:firstLine="0" w:firstLineChars="0"/>
              <w:jc w:val="left"/>
              <w:rPr>
                <w:rFonts w:ascii="Times New Roman" w:eastAsia="Times New Roman"/>
                <w:sz w:val="24"/>
                <w:szCs w:val="24"/>
              </w:rPr>
            </w:pPr>
            <w:r>
              <w:rPr>
                <w:rFonts w:ascii="Times New Roman" w:hAnsi="Times New Roman" w:eastAsia="Times New Roman" w:cs="Times New Roman"/>
                <w:b w:val="0"/>
                <w:bCs w:val="0"/>
                <w:sz w:val="24"/>
                <w:szCs w:val="24"/>
              </w:rPr>
              <w:t>Web of Science Core Collection</w:t>
            </w:r>
          </w:p>
        </w:tc>
        <w:tc>
          <w:tcPr>
            <w:tcW w:w="7434" w:type="dxa"/>
            <w:tcBorders>
              <w:top w:val="nil"/>
              <w:left w:val="nil"/>
              <w:bottom w:val="nil"/>
              <w:right w:val="nil"/>
            </w:tcBorders>
            <w:shd w:val="clear" w:color="auto" w:fill="FFFFFF" w:themeFill="background1"/>
            <w:noWrap w:val="0"/>
            <w:tcMar>
              <w:top w:w="60" w:type="dxa"/>
              <w:left w:w="100" w:type="dxa"/>
              <w:bottom w:w="60" w:type="dxa"/>
              <w:right w:w="100" w:type="dxa"/>
            </w:tcMar>
            <w:vAlign w:val="center"/>
          </w:tcPr>
          <w:p w14:paraId="511AC520">
            <w:pPr>
              <w:snapToGrid w:val="0"/>
              <w:spacing w:after="40" w:line="360" w:lineRule="auto"/>
              <w:ind w:left="0" w:leftChars="0" w:right="0" w:rightChars="0" w:firstLine="0" w:firstLineChars="0"/>
              <w:jc w:val="left"/>
              <w:rPr>
                <w:rFonts w:ascii="Times New Roman" w:eastAsia="Times New Roman"/>
                <w:sz w:val="24"/>
                <w:szCs w:val="24"/>
              </w:rPr>
            </w:pPr>
            <w:r>
              <w:rPr>
                <w:rFonts w:ascii="Times New Roman" w:hAnsi="Times New Roman" w:eastAsia="Times New Roman" w:cs="Times New Roman"/>
                <w:b w:val="0"/>
                <w:bCs w:val="0"/>
                <w:sz w:val="24"/>
                <w:szCs w:val="24"/>
              </w:rPr>
              <w:t>TS=("non-small cell lung cancer" OR "non small cell lung cancer" OR NSCLC OR "lung adenocarcinoma" OR "lung squamous cell carcinoma") AND TS=("immune checkpoint inhibitor*" OR immunotherapy OR "PD-1" OR "PD-L1" OR "CTLA-4" OR nivolumab OR pembrolizumab OR atezolizumab OR durvalumab OR cemiplimab OR avelumab OR ipilimumab OR tremelimumab OR camrelizumab OR sintilimab OR tislelizumab OR toripalimab OR sugemalimab OR serplulimab OR penpulimab) AND TS=("proton pump inhibitor*" OR PPI OR PPIs OR omeprazole OR esomeprazole OR pantoprazole OR rabeprazole OR lansoprazole OR dexlansoprazole OR ilaprazole OR vonoprazan OR "acid suppressant*")</w:t>
            </w:r>
          </w:p>
        </w:tc>
      </w:tr>
      <w:tr w14:paraId="56351645">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 w:type="dxa"/>
            <w:bottom w:w="0" w:type="dxa"/>
            <w:right w:w="10" w:type="dxa"/>
          </w:tblCellMar>
        </w:tblPrEx>
        <w:trPr>
          <w:trHeight w:val="0" w:hRule="atLeast"/>
          <w:jc w:val="center"/>
        </w:trPr>
        <w:tc>
          <w:tcPr>
            <w:tcW w:w="0" w:type="auto"/>
            <w:tcBorders>
              <w:top w:val="nil"/>
              <w:left w:val="nil"/>
              <w:bottom w:val="nil"/>
              <w:right w:val="nil"/>
            </w:tcBorders>
            <w:shd w:val="clear" w:color="auto" w:fill="FFFFFF" w:themeFill="background1"/>
            <w:noWrap w:val="0"/>
            <w:tcMar>
              <w:top w:w="60" w:type="dxa"/>
              <w:left w:w="100" w:type="dxa"/>
              <w:bottom w:w="60" w:type="dxa"/>
              <w:right w:w="100" w:type="dxa"/>
            </w:tcMar>
            <w:vAlign w:val="center"/>
          </w:tcPr>
          <w:p w14:paraId="4A2B6629">
            <w:pPr>
              <w:snapToGrid w:val="0"/>
              <w:spacing w:after="40" w:line="360" w:lineRule="auto"/>
              <w:ind w:left="0" w:leftChars="0" w:right="0" w:rightChars="0" w:firstLine="0" w:firstLineChars="0"/>
              <w:jc w:val="left"/>
              <w:rPr>
                <w:rFonts w:ascii="Times New Roman" w:eastAsia="Times New Roman"/>
                <w:sz w:val="24"/>
                <w:szCs w:val="24"/>
              </w:rPr>
            </w:pPr>
            <w:r>
              <w:rPr>
                <w:rFonts w:ascii="Times New Roman" w:hAnsi="Times New Roman" w:eastAsia="Times New Roman" w:cs="Times New Roman"/>
                <w:b w:val="0"/>
                <w:bCs w:val="0"/>
                <w:sz w:val="24"/>
                <w:szCs w:val="24"/>
              </w:rPr>
              <w:t>Cochrane Library</w:t>
            </w:r>
          </w:p>
        </w:tc>
        <w:tc>
          <w:tcPr>
            <w:tcW w:w="7434" w:type="dxa"/>
            <w:tcBorders>
              <w:top w:val="nil"/>
              <w:left w:val="nil"/>
              <w:bottom w:val="nil"/>
              <w:right w:val="nil"/>
            </w:tcBorders>
            <w:shd w:val="clear" w:color="auto" w:fill="FFFFFF" w:themeFill="background1"/>
            <w:noWrap w:val="0"/>
            <w:tcMar>
              <w:top w:w="60" w:type="dxa"/>
              <w:left w:w="100" w:type="dxa"/>
              <w:bottom w:w="60" w:type="dxa"/>
              <w:right w:w="100" w:type="dxa"/>
            </w:tcMar>
            <w:vAlign w:val="center"/>
          </w:tcPr>
          <w:p w14:paraId="4C1BE6B4">
            <w:pPr>
              <w:snapToGrid w:val="0"/>
              <w:spacing w:after="40" w:line="360" w:lineRule="auto"/>
              <w:ind w:left="0" w:leftChars="0" w:right="0" w:rightChars="0" w:firstLine="0" w:firstLineChars="0"/>
              <w:jc w:val="left"/>
              <w:rPr>
                <w:rFonts w:ascii="Times New Roman" w:eastAsia="Times New Roman"/>
                <w:sz w:val="24"/>
                <w:szCs w:val="24"/>
              </w:rPr>
            </w:pPr>
            <w:r>
              <w:rPr>
                <w:rFonts w:ascii="Times New Roman" w:hAnsi="Times New Roman" w:eastAsia="Times New Roman" w:cs="Times New Roman"/>
                <w:b w:val="0"/>
                <w:bCs w:val="0"/>
                <w:sz w:val="24"/>
                <w:szCs w:val="24"/>
              </w:rPr>
              <w:t>#1 (non* small cell lung cancer OR NSCLC OR lung adenocarcinoma OR lung squamous cell carcinoma):ti,ab,kw</w:t>
            </w:r>
          </w:p>
          <w:p w14:paraId="3A41BDF7">
            <w:pPr>
              <w:snapToGrid w:val="0"/>
              <w:spacing w:after="40" w:line="360" w:lineRule="auto"/>
              <w:ind w:left="0" w:leftChars="0" w:right="0" w:rightChars="0" w:firstLine="0" w:firstLineChars="0"/>
              <w:jc w:val="left"/>
              <w:rPr>
                <w:rFonts w:ascii="Times New Roman" w:eastAsia="Times New Roman"/>
                <w:sz w:val="24"/>
                <w:szCs w:val="24"/>
              </w:rPr>
            </w:pPr>
            <w:r>
              <w:rPr>
                <w:rFonts w:ascii="Times New Roman" w:hAnsi="Times New Roman" w:eastAsia="Times New Roman" w:cs="Times New Roman"/>
                <w:b w:val="0"/>
                <w:bCs w:val="0"/>
                <w:sz w:val="24"/>
                <w:szCs w:val="24"/>
              </w:rPr>
              <w:t>#2 (immune checkpoint inhibitor* OR immunotherapy OR PD-1 OR PD-L1 OR CTLA-4 OR nivolumab OR pembrolizumab OR atezolizumab OR durvalumab OR cemiplimab OR avelumab OR ipilimumab OR tremelimumab OR camrelizumab OR sintilimab OR tislelizumab OR toripalimab OR sugemalimab OR serplulimab OR penpulimab):ti,ab,kw</w:t>
            </w:r>
          </w:p>
          <w:p w14:paraId="2B98C89A">
            <w:pPr>
              <w:snapToGrid w:val="0"/>
              <w:spacing w:after="40" w:line="360" w:lineRule="auto"/>
              <w:ind w:left="0" w:leftChars="0" w:right="0" w:rightChars="0" w:firstLine="0" w:firstLineChars="0"/>
              <w:jc w:val="left"/>
              <w:rPr>
                <w:rFonts w:ascii="Times New Roman" w:eastAsia="Times New Roman"/>
                <w:sz w:val="24"/>
                <w:szCs w:val="24"/>
              </w:rPr>
            </w:pPr>
            <w:r>
              <w:rPr>
                <w:rFonts w:ascii="Times New Roman" w:hAnsi="Times New Roman" w:eastAsia="Times New Roman" w:cs="Times New Roman"/>
                <w:b w:val="0"/>
                <w:bCs w:val="0"/>
                <w:sz w:val="24"/>
                <w:szCs w:val="24"/>
              </w:rPr>
              <w:t>#3 (proton pump inhibitor* OR PPI OR PPIs OR omeprazole OR esomeprazole OR pantoprazole OR rabeprazole OR lansoprazole OR dexlansoprazole OR ilaprazole OR vonoprazan OR "acid suppressant*"):ti,ab,kw</w:t>
            </w:r>
          </w:p>
          <w:p w14:paraId="247E9A72">
            <w:pPr>
              <w:snapToGrid w:val="0"/>
              <w:spacing w:after="40" w:line="360" w:lineRule="auto"/>
              <w:ind w:left="0" w:leftChars="0" w:right="0" w:rightChars="0" w:firstLine="0" w:firstLineChars="0"/>
              <w:jc w:val="left"/>
              <w:rPr>
                <w:rFonts w:ascii="Times New Roman" w:eastAsia="Times New Roman"/>
                <w:sz w:val="24"/>
                <w:szCs w:val="24"/>
              </w:rPr>
            </w:pPr>
            <w:r>
              <w:rPr>
                <w:rFonts w:ascii="Times New Roman" w:hAnsi="Times New Roman" w:eastAsia="Times New Roman" w:cs="Times New Roman"/>
                <w:b w:val="0"/>
                <w:bCs w:val="0"/>
                <w:sz w:val="24"/>
                <w:szCs w:val="24"/>
              </w:rPr>
              <w:t>#4 #1 AND #2 AND #3</w:t>
            </w:r>
          </w:p>
        </w:tc>
      </w:tr>
      <w:tr w14:paraId="79D1680C">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 w:type="dxa"/>
            <w:bottom w:w="0" w:type="dxa"/>
            <w:right w:w="10" w:type="dxa"/>
          </w:tblCellMar>
        </w:tblPrEx>
        <w:trPr>
          <w:trHeight w:val="0" w:hRule="atLeast"/>
          <w:jc w:val="center"/>
        </w:trPr>
        <w:tc>
          <w:tcPr>
            <w:tcW w:w="0" w:type="auto"/>
            <w:tcBorders>
              <w:top w:val="nil"/>
              <w:left w:val="nil"/>
              <w:bottom w:val="nil"/>
              <w:right w:val="nil"/>
            </w:tcBorders>
            <w:shd w:val="clear" w:color="auto" w:fill="FFFFFF" w:themeFill="background1"/>
            <w:noWrap w:val="0"/>
            <w:tcMar>
              <w:top w:w="60" w:type="dxa"/>
              <w:left w:w="100" w:type="dxa"/>
              <w:bottom w:w="60" w:type="dxa"/>
              <w:right w:w="100" w:type="dxa"/>
            </w:tcMar>
            <w:vAlign w:val="center"/>
          </w:tcPr>
          <w:p w14:paraId="72499588">
            <w:pPr>
              <w:snapToGrid w:val="0"/>
              <w:spacing w:after="40" w:line="360" w:lineRule="auto"/>
              <w:ind w:left="0" w:leftChars="0" w:right="0" w:rightChars="0" w:firstLine="0" w:firstLineChars="0"/>
              <w:jc w:val="left"/>
              <w:rPr>
                <w:rFonts w:ascii="Times New Roman" w:eastAsia="Times New Roman"/>
                <w:sz w:val="24"/>
                <w:szCs w:val="24"/>
              </w:rPr>
            </w:pPr>
            <w:r>
              <w:rPr>
                <w:rFonts w:ascii="Times New Roman" w:hAnsi="Times New Roman" w:eastAsia="Times New Roman" w:cs="Times New Roman"/>
                <w:b w:val="0"/>
                <w:bCs w:val="0"/>
                <w:sz w:val="24"/>
                <w:szCs w:val="24"/>
              </w:rPr>
              <w:t>CNKI (China National Knowledge Infrastructure)</w:t>
            </w:r>
          </w:p>
        </w:tc>
        <w:tc>
          <w:tcPr>
            <w:tcW w:w="7434" w:type="dxa"/>
            <w:tcBorders>
              <w:top w:val="nil"/>
              <w:left w:val="nil"/>
              <w:bottom w:val="nil"/>
              <w:right w:val="nil"/>
            </w:tcBorders>
            <w:shd w:val="clear" w:color="auto" w:fill="FFFFFF" w:themeFill="background1"/>
            <w:noWrap w:val="0"/>
            <w:tcMar>
              <w:top w:w="60" w:type="dxa"/>
              <w:left w:w="100" w:type="dxa"/>
              <w:bottom w:w="60" w:type="dxa"/>
              <w:right w:w="100" w:type="dxa"/>
            </w:tcMar>
            <w:vAlign w:val="center"/>
          </w:tcPr>
          <w:p w14:paraId="1C0CF654">
            <w:pPr>
              <w:snapToGrid w:val="0"/>
              <w:spacing w:after="40" w:line="360" w:lineRule="auto"/>
              <w:ind w:left="0" w:leftChars="0" w:right="0" w:rightChars="0" w:firstLine="0" w:firstLineChars="0"/>
              <w:jc w:val="left"/>
              <w:rPr>
                <w:rFonts w:ascii="Times New Roman" w:eastAsia="Times New Roman"/>
                <w:sz w:val="24"/>
                <w:szCs w:val="24"/>
              </w:rPr>
            </w:pPr>
            <w:r>
              <w:rPr>
                <w:rFonts w:ascii="Times New Roman" w:hAnsi="Times New Roman" w:eastAsia="Times New Roman" w:cs="Times New Roman"/>
                <w:b w:val="0"/>
                <w:bCs w:val="0"/>
                <w:sz w:val="24"/>
                <w:szCs w:val="24"/>
              </w:rPr>
              <w:t>SU=(肺癌+NSCLC) AND SU=(免疫+PD-1+PD-L1) AND FT=(质子泵抑制剂+拉唑+抑酸)</w:t>
            </w:r>
          </w:p>
        </w:tc>
      </w:tr>
      <w:tr w14:paraId="6D8F1616">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 w:type="dxa"/>
            <w:bottom w:w="0" w:type="dxa"/>
            <w:right w:w="10" w:type="dxa"/>
          </w:tblCellMar>
        </w:tblPrEx>
        <w:trPr>
          <w:trHeight w:val="0" w:hRule="atLeast"/>
          <w:jc w:val="center"/>
        </w:trPr>
        <w:tc>
          <w:tcPr>
            <w:tcW w:w="0" w:type="auto"/>
            <w:tcBorders>
              <w:top w:val="nil"/>
              <w:left w:val="nil"/>
              <w:bottom w:val="nil"/>
              <w:right w:val="nil"/>
            </w:tcBorders>
            <w:shd w:val="clear" w:color="auto" w:fill="FFFFFF" w:themeFill="background1"/>
            <w:noWrap w:val="0"/>
            <w:tcMar>
              <w:top w:w="60" w:type="dxa"/>
              <w:left w:w="100" w:type="dxa"/>
              <w:bottom w:w="60" w:type="dxa"/>
              <w:right w:w="100" w:type="dxa"/>
            </w:tcMar>
            <w:vAlign w:val="center"/>
          </w:tcPr>
          <w:p w14:paraId="4A38B3B1">
            <w:pPr>
              <w:snapToGrid w:val="0"/>
              <w:spacing w:after="40" w:line="360" w:lineRule="auto"/>
              <w:ind w:left="0" w:leftChars="0" w:right="0" w:rightChars="0" w:firstLine="0" w:firstLineChars="0"/>
              <w:jc w:val="left"/>
              <w:rPr>
                <w:rFonts w:ascii="Times New Roman" w:eastAsia="Times New Roman"/>
                <w:sz w:val="24"/>
                <w:szCs w:val="24"/>
              </w:rPr>
            </w:pPr>
            <w:r>
              <w:rPr>
                <w:rFonts w:ascii="Times New Roman" w:hAnsi="Times New Roman" w:eastAsia="Times New Roman" w:cs="Times New Roman"/>
                <w:b w:val="0"/>
                <w:bCs w:val="0"/>
                <w:sz w:val="24"/>
                <w:szCs w:val="24"/>
              </w:rPr>
              <w:t>Wanfang Data</w:t>
            </w:r>
          </w:p>
        </w:tc>
        <w:tc>
          <w:tcPr>
            <w:tcW w:w="7434" w:type="dxa"/>
            <w:tcBorders>
              <w:top w:val="nil"/>
              <w:left w:val="nil"/>
              <w:bottom w:val="nil"/>
              <w:right w:val="nil"/>
            </w:tcBorders>
            <w:shd w:val="clear" w:color="auto" w:fill="FFFFFF" w:themeFill="background1"/>
            <w:noWrap w:val="0"/>
            <w:tcMar>
              <w:top w:w="60" w:type="dxa"/>
              <w:left w:w="100" w:type="dxa"/>
              <w:bottom w:w="60" w:type="dxa"/>
              <w:right w:w="100" w:type="dxa"/>
            </w:tcMar>
            <w:vAlign w:val="center"/>
          </w:tcPr>
          <w:p w14:paraId="67655ADD">
            <w:pPr>
              <w:snapToGrid w:val="0"/>
              <w:spacing w:after="40" w:line="360" w:lineRule="auto"/>
              <w:ind w:left="0" w:leftChars="0" w:right="0" w:rightChars="0" w:firstLine="0" w:firstLineChars="0"/>
              <w:jc w:val="left"/>
              <w:rPr>
                <w:rFonts w:ascii="Times New Roman" w:eastAsia="Times New Roman"/>
                <w:sz w:val="24"/>
                <w:szCs w:val="24"/>
              </w:rPr>
            </w:pPr>
            <w:r>
              <w:rPr>
                <w:rFonts w:ascii="Times New Roman" w:hAnsi="Times New Roman" w:eastAsia="Times New Roman" w:cs="Times New Roman"/>
                <w:b w:val="0"/>
                <w:bCs w:val="0"/>
                <w:sz w:val="24"/>
                <w:szCs w:val="24"/>
              </w:rPr>
              <w:t>主题:(非小细胞肺癌 OR 肺腺癌 OR 肺鳞癌 OR NSCLC) AND 主题:(免疫检查点抑制剂 OR 免疫治疗 OR PD-1 OR PD-L1 OR CTLA-4 OR 纳武利尤单抗 OR 帕博利珠单抗 OR 阿替利珠单抗 OR 度伐利尤单抗 OR 卡瑞利珠单抗 OR 信迪利单抗 OR 替雷利珠单抗 OR 特瑞普利单抗 OR 舒格利单抗) AND 主题:(质子泵抑制剂 OR 抑酸药 OR PPI OR 奥美拉唑 OR 埃索美拉唑 OR 泮托拉唑 OR 雷贝拉唑 OR 兰索拉唑)</w:t>
            </w:r>
          </w:p>
        </w:tc>
      </w:tr>
      <w:tr w14:paraId="376898DE">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 w:type="dxa"/>
            <w:bottom w:w="0" w:type="dxa"/>
            <w:right w:w="10" w:type="dxa"/>
          </w:tblCellMar>
        </w:tblPrEx>
        <w:trPr>
          <w:trHeight w:val="0" w:hRule="atLeast"/>
          <w:jc w:val="center"/>
        </w:trPr>
        <w:tc>
          <w:tcPr>
            <w:tcW w:w="1792" w:type="dxa"/>
            <w:tcBorders>
              <w:top w:val="nil"/>
              <w:left w:val="nil"/>
              <w:bottom w:val="single" w:color="auto" w:sz="12" w:space="0"/>
              <w:right w:val="nil"/>
            </w:tcBorders>
            <w:shd w:val="clear" w:color="auto" w:fill="FFFFFF" w:themeFill="background1"/>
            <w:noWrap w:val="0"/>
            <w:tcMar>
              <w:top w:w="60" w:type="dxa"/>
              <w:left w:w="100" w:type="dxa"/>
              <w:bottom w:w="60" w:type="dxa"/>
              <w:right w:w="100" w:type="dxa"/>
            </w:tcMar>
            <w:vAlign w:val="center"/>
          </w:tcPr>
          <w:p w14:paraId="40E07489">
            <w:pPr>
              <w:snapToGrid w:val="0"/>
              <w:spacing w:after="40" w:line="360" w:lineRule="auto"/>
              <w:ind w:left="0" w:leftChars="0" w:right="0" w:rightChars="0" w:firstLine="0" w:firstLineChars="0"/>
              <w:jc w:val="left"/>
              <w:rPr>
                <w:rFonts w:ascii="Times New Roman" w:eastAsia="Times New Roman"/>
                <w:sz w:val="24"/>
                <w:szCs w:val="24"/>
              </w:rPr>
            </w:pPr>
            <w:r>
              <w:rPr>
                <w:rFonts w:ascii="Times New Roman" w:hAnsi="Times New Roman" w:eastAsia="Times New Roman" w:cs="Times New Roman"/>
                <w:b w:val="0"/>
                <w:bCs w:val="0"/>
                <w:sz w:val="24"/>
                <w:szCs w:val="24"/>
              </w:rPr>
              <w:t>VIP (Chinese Scientific Journal Database)</w:t>
            </w:r>
          </w:p>
        </w:tc>
        <w:tc>
          <w:tcPr>
            <w:tcW w:w="7434" w:type="dxa"/>
            <w:tcBorders>
              <w:top w:val="nil"/>
              <w:left w:val="nil"/>
              <w:bottom w:val="single" w:color="auto" w:sz="12" w:space="0"/>
              <w:right w:val="nil"/>
            </w:tcBorders>
            <w:shd w:val="clear" w:color="auto" w:fill="FFFFFF" w:themeFill="background1"/>
            <w:noWrap w:val="0"/>
            <w:tcMar>
              <w:top w:w="60" w:type="dxa"/>
              <w:left w:w="100" w:type="dxa"/>
              <w:bottom w:w="60" w:type="dxa"/>
              <w:right w:w="100" w:type="dxa"/>
            </w:tcMar>
            <w:vAlign w:val="center"/>
          </w:tcPr>
          <w:p w14:paraId="2CFF0652">
            <w:pPr>
              <w:snapToGrid w:val="0"/>
              <w:spacing w:after="40" w:line="360" w:lineRule="auto"/>
              <w:ind w:left="0" w:leftChars="0" w:right="0" w:rightChars="0" w:firstLine="0" w:firstLineChars="0"/>
              <w:jc w:val="left"/>
              <w:rPr>
                <w:rFonts w:ascii="Times New Roman" w:eastAsia="Times New Roman"/>
                <w:sz w:val="24"/>
                <w:szCs w:val="24"/>
              </w:rPr>
            </w:pPr>
            <w:r>
              <w:rPr>
                <w:rFonts w:ascii="Times New Roman" w:hAnsi="Times New Roman" w:eastAsia="Times New Roman" w:cs="Times New Roman"/>
                <w:b w:val="0"/>
                <w:bCs w:val="0"/>
                <w:sz w:val="24"/>
                <w:szCs w:val="24"/>
              </w:rPr>
              <w:t>M=(非小细胞肺癌 OR 肺腺癌 OR 肺鳞癌) AND M=(免疫检查点抑制剂 OR 免疫治疗 OR 程序性死亡受体1 OR 程序性死亡配体1 OR 纳武利尤单抗 OR 帕博利珠单抗 OR 阿替利珠单抗 OR 卡瑞利珠单抗 OR 信迪利单抗 OR 替雷利珠单抗) AND M=(质子泵抑制剂 OR 抑酸药 OR 奥美拉唑 OR 泮托拉唑 OR 雷贝拉唑 OR 兰索拉唑)</w:t>
            </w:r>
          </w:p>
        </w:tc>
      </w:tr>
    </w:tbl>
    <w:p w14:paraId="6EA0F0A4">
      <w:pPr>
        <w:spacing w:after="100" w:line="276" w:lineRule="auto"/>
        <w:jc w:val="left"/>
      </w:pPr>
    </w:p>
    <w:p w14:paraId="4E91DF4F">
      <w:pPr>
        <w:spacing w:after="100" w:line="360" w:lineRule="auto"/>
        <w:jc w:val="left"/>
        <w:rPr>
          <w:sz w:val="24"/>
          <w:szCs w:val="24"/>
        </w:rPr>
      </w:pPr>
      <w:r>
        <w:rPr>
          <w:rFonts w:ascii="Times New Roman" w:hAnsi="Times New Roman" w:eastAsia="Times New Roman" w:cs="Times New Roman"/>
          <w:b/>
          <w:bCs/>
          <w:sz w:val="24"/>
          <w:szCs w:val="24"/>
        </w:rPr>
        <w:t>Abbreviations</w:t>
      </w:r>
      <w:r>
        <w:rPr>
          <w:rFonts w:ascii="Times New Roman" w:hAnsi="Times New Roman" w:eastAsia="Times New Roman" w:cs="Times New Roman"/>
          <w:b w:val="0"/>
          <w:bCs w:val="0"/>
          <w:sz w:val="24"/>
          <w:szCs w:val="24"/>
        </w:rPr>
        <w:t>: NSCLC, non-small cell lung cancer; PPI, proton pump inhibitor; MeSH, Medical Subject Headings; TS, topic search; SU, subject; FT, full text; M, title or keyword field.</w:t>
      </w:r>
    </w:p>
    <w:p w14:paraId="4B331EF5">
      <w:pPr>
        <w:spacing w:after="100" w:line="360" w:lineRule="auto"/>
        <w:jc w:val="left"/>
        <w:rPr>
          <w:sz w:val="24"/>
          <w:szCs w:val="24"/>
        </w:rPr>
      </w:pPr>
      <w:r>
        <w:rPr>
          <w:rFonts w:ascii="Times New Roman" w:hAnsi="Times New Roman" w:eastAsia="Times New Roman" w:cs="Times New Roman"/>
          <w:b/>
          <w:bCs/>
          <w:sz w:val="24"/>
          <w:szCs w:val="24"/>
        </w:rPr>
        <w:t>Notes</w:t>
      </w:r>
      <w:r>
        <w:rPr>
          <w:rFonts w:ascii="Times New Roman" w:hAnsi="Times New Roman" w:eastAsia="Times New Roman" w:cs="Times New Roman"/>
          <w:b w:val="0"/>
          <w:bCs w:val="0"/>
          <w:sz w:val="24"/>
          <w:szCs w:val="24"/>
        </w:rPr>
        <w:t xml:space="preserve">: Searches in English databases combined controlled vocabulary (MeSH/Emtree) with free-text terms in title/abstract fields; searches in Chinese databases used the corresponding Chinese subject terms and synonyms. Field syntax follows each platform’s conventions. Search strategies were independently drafted by two reviewers and cross-checked following PRESS (Peer Review of Electronic Search Strategies) principles. </w:t>
      </w:r>
    </w:p>
    <w:sectPr>
      <w:pgSz w:w="11906" w:h="16838"/>
      <w:pgMar w:top="1440" w:right="1440" w:bottom="1440" w:left="1440" w:header="708" w:footer="708"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S PGothic">
    <w:panose1 w:val="020B0600070205080204"/>
    <w:charset w:val="80"/>
    <w:family w:val="auto"/>
    <w:pitch w:val="default"/>
    <w:sig w:usb0="E00002FF" w:usb1="6AC7FDFB" w:usb2="08000012" w:usb3="00000000" w:csb0="4002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documentProtection w:enforcement="0"/>
  <w:compat>
    <w:useFELayout/>
    <w:compatSetting w:name="compatibilityMode" w:uri="http://schemas.microsoft.com/office/word" w:val="15"/>
  </w:compat>
  <w:rsids>
    <w:rsidRoot w:val="00000000"/>
    <w:rsid w:val="285B7210"/>
    <w:rsid w:val="3CBA345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iPriority="99"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iPriority="99" w:name="footnote reference"/>
    <w:lsdException w:unhideWhenUsed="0" w:uiPriority="0" w:semiHidden="0" w:name="annotation reference"/>
    <w:lsdException w:unhideWhenUsed="0" w:uiPriority="0" w:semiHidden="0" w:name="line number"/>
    <w:lsdException w:unhideWhenUsed="0" w:uiPriority="0" w:semiHidden="0" w:name="page number"/>
    <w:lsdException w:uiPriority="99" w:name="endnote reference"/>
    <w:lsdException w:qFormat="1" w:uiPriority="99"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sz w:val="21"/>
      <w:szCs w:val="22"/>
    </w:rPr>
  </w:style>
  <w:style w:type="paragraph" w:styleId="2">
    <w:name w:val="heading 1"/>
    <w:next w:val="1"/>
    <w:qFormat/>
    <w:uiPriority w:val="0"/>
    <w:rPr>
      <w:color w:val="2E74B5"/>
      <w:sz w:val="32"/>
      <w:szCs w:val="32"/>
    </w:rPr>
  </w:style>
  <w:style w:type="paragraph" w:styleId="3">
    <w:name w:val="heading 2"/>
    <w:next w:val="1"/>
    <w:qFormat/>
    <w:uiPriority w:val="0"/>
    <w:rPr>
      <w:color w:val="2E74B5"/>
      <w:sz w:val="26"/>
      <w:szCs w:val="26"/>
    </w:rPr>
  </w:style>
  <w:style w:type="paragraph" w:styleId="4">
    <w:name w:val="heading 3"/>
    <w:next w:val="1"/>
    <w:qFormat/>
    <w:uiPriority w:val="0"/>
    <w:rPr>
      <w:color w:val="1F4D78"/>
      <w:sz w:val="24"/>
      <w:szCs w:val="24"/>
    </w:rPr>
  </w:style>
  <w:style w:type="paragraph" w:styleId="5">
    <w:name w:val="heading 4"/>
    <w:next w:val="1"/>
    <w:qFormat/>
    <w:uiPriority w:val="0"/>
    <w:rPr>
      <w:i/>
      <w:iCs/>
      <w:color w:val="2E74B5"/>
      <w:sz w:val="21"/>
      <w:szCs w:val="22"/>
    </w:rPr>
  </w:style>
  <w:style w:type="paragraph" w:styleId="6">
    <w:name w:val="heading 5"/>
    <w:next w:val="1"/>
    <w:qFormat/>
    <w:uiPriority w:val="0"/>
    <w:rPr>
      <w:color w:val="2E74B5"/>
      <w:sz w:val="21"/>
      <w:szCs w:val="22"/>
    </w:rPr>
  </w:style>
  <w:style w:type="paragraph" w:styleId="7">
    <w:name w:val="heading 6"/>
    <w:next w:val="1"/>
    <w:qFormat/>
    <w:uiPriority w:val="0"/>
    <w:rPr>
      <w:color w:val="1F4D78"/>
      <w:sz w:val="21"/>
      <w:szCs w:val="22"/>
    </w:rPr>
  </w:style>
  <w:style w:type="character" w:default="1" w:styleId="12">
    <w:name w:val="Default Paragraph Font"/>
    <w:semiHidden/>
    <w:uiPriority w:val="0"/>
  </w:style>
  <w:style w:type="table" w:default="1" w:styleId="11">
    <w:name w:val="Normal Table"/>
    <w:semiHidden/>
    <w:uiPriority w:val="0"/>
    <w:tblPr>
      <w:tblCellMar>
        <w:top w:w="0" w:type="dxa"/>
        <w:left w:w="108" w:type="dxa"/>
        <w:bottom w:w="0" w:type="dxa"/>
        <w:right w:w="108" w:type="dxa"/>
      </w:tblCellMar>
    </w:tblPr>
  </w:style>
  <w:style w:type="paragraph" w:styleId="8">
    <w:name w:val="endnote text"/>
    <w:link w:val="18"/>
    <w:semiHidden/>
    <w:unhideWhenUsed/>
    <w:qFormat/>
    <w:uiPriority w:val="99"/>
    <w:pPr>
      <w:spacing w:after="0" w:line="240" w:lineRule="auto"/>
    </w:pPr>
    <w:rPr>
      <w:sz w:val="20"/>
      <w:szCs w:val="20"/>
    </w:rPr>
  </w:style>
  <w:style w:type="paragraph" w:styleId="9">
    <w:name w:val="footnote text"/>
    <w:link w:val="17"/>
    <w:semiHidden/>
    <w:unhideWhenUsed/>
    <w:qFormat/>
    <w:uiPriority w:val="99"/>
    <w:pPr>
      <w:spacing w:after="0" w:line="240" w:lineRule="auto"/>
    </w:pPr>
    <w:rPr>
      <w:sz w:val="20"/>
      <w:szCs w:val="20"/>
    </w:rPr>
  </w:style>
  <w:style w:type="paragraph" w:styleId="10">
    <w:name w:val="Title"/>
    <w:qFormat/>
    <w:uiPriority w:val="0"/>
    <w:rPr>
      <w:sz w:val="56"/>
      <w:szCs w:val="56"/>
    </w:rPr>
  </w:style>
  <w:style w:type="character" w:styleId="13">
    <w:name w:val="endnote reference"/>
    <w:semiHidden/>
    <w:unhideWhenUsed/>
    <w:uiPriority w:val="99"/>
    <w:rPr>
      <w:vertAlign w:val="superscript"/>
    </w:rPr>
  </w:style>
  <w:style w:type="character" w:styleId="14">
    <w:name w:val="Hyperlink"/>
    <w:unhideWhenUsed/>
    <w:uiPriority w:val="99"/>
    <w:rPr>
      <w:color w:val="0563C1"/>
      <w:u w:val="single"/>
    </w:rPr>
  </w:style>
  <w:style w:type="character" w:styleId="15">
    <w:name w:val="footnote reference"/>
    <w:semiHidden/>
    <w:unhideWhenUsed/>
    <w:uiPriority w:val="99"/>
    <w:rPr>
      <w:vertAlign w:val="superscript"/>
    </w:rPr>
  </w:style>
  <w:style w:type="paragraph" w:styleId="16">
    <w:name w:val="List Paragraph"/>
    <w:qFormat/>
    <w:uiPriority w:val="0"/>
    <w:rPr>
      <w:sz w:val="21"/>
      <w:szCs w:val="22"/>
    </w:rPr>
  </w:style>
  <w:style w:type="character" w:customStyle="1" w:styleId="17">
    <w:name w:val="Footnote Text Char"/>
    <w:link w:val="9"/>
    <w:semiHidden/>
    <w:unhideWhenUsed/>
    <w:qFormat/>
    <w:uiPriority w:val="99"/>
    <w:rPr>
      <w:sz w:val="20"/>
      <w:szCs w:val="20"/>
    </w:rPr>
  </w:style>
  <w:style w:type="character" w:customStyle="1" w:styleId="18">
    <w:name w:val="Endnote Text Char"/>
    <w:link w:val="8"/>
    <w:semiHidden/>
    <w:unhideWhenUsed/>
    <w:uiPriority w:val="99"/>
    <w:rPr>
      <w:sz w:val="20"/>
      <w:szCs w:val="20"/>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3</Pages>
  <Words>877</Words>
  <Characters>4331</Characters>
  <TotalTime>3</TotalTime>
  <ScaleCrop>false</ScaleCrop>
  <LinksUpToDate>false</LinksUpToDate>
  <CharactersWithSpaces>4963</CharactersWithSpaces>
  <Application>WPS Office_12.1.0.28043_F1E327BC-269C-435d-A152-05C5408002CA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2026-08-26T03:48:00Z</dcterms:created>
  <dc:creator>Un-named</dc:creator>
  <cp:lastModifiedBy>user</cp:lastModifiedBy>
  <dcterms:modified xsi:type="dcterms:W3CDTF">2026-08-26T08:24:11Z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eyJoZGlkIjoiNjA4YTA3M2E0ZWQ0NzRmZjcxZTE1YThlNWMxZDRhNDEiLCJ1c2VySWQiOiIyMTQ2MzAyMDYifQ==</vt:lpwstr>
  </property>
  <property fmtid="{D5CDD505-2E9C-101B-9397-08002B2CF9AE}" pid="3" name="KSOProductBuildVer">
    <vt:lpwstr>2052-12.1.0.28043</vt:lpwstr>
  </property>
  <property fmtid="{D5CDD505-2E9C-101B-9397-08002B2CF9AE}" pid="4" name="ICV">
    <vt:lpwstr>695EF983E5B84B81A8C6BCA257D312EF_13</vt:lpwstr>
  </property>
</Properties>
</file>