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493AD"/>
    <w:p w14:paraId="17663185">
      <w:r>
        <w:rPr>
          <w:rFonts w:ascii="Times New Roman" w:hAnsi="Times New Roman"/>
          <w:b/>
          <w:sz w:val="22"/>
        </w:rPr>
        <w:t>Supplementary Table S7. Baseline characteristics, time to onset, and fatal outcomes of FAERS reports (NSCLC-restricted population).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5"/>
        <w:gridCol w:w="3535"/>
        <w:gridCol w:w="3535"/>
        <w:gridCol w:w="3535"/>
      </w:tblGrid>
      <w:tr w14:paraId="65F8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4B03C5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Characteristic</w:t>
            </w:r>
          </w:p>
        </w:tc>
        <w:tc>
          <w:tcPr>
            <w:tcW w:w="3535" w:type="dxa"/>
          </w:tcPr>
          <w:p w14:paraId="206D89C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Group A: ICI + PPI (n = 5,256)</w:t>
            </w:r>
          </w:p>
        </w:tc>
        <w:tc>
          <w:tcPr>
            <w:tcW w:w="3535" w:type="dxa"/>
          </w:tcPr>
          <w:p w14:paraId="6C4C16F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Group B: ICI only (n = 40,204)</w:t>
            </w:r>
          </w:p>
        </w:tc>
        <w:tc>
          <w:tcPr>
            <w:tcW w:w="3535" w:type="dxa"/>
          </w:tcPr>
          <w:p w14:paraId="0E0459F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P value</w:t>
            </w:r>
          </w:p>
        </w:tc>
      </w:tr>
      <w:tr w14:paraId="137C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C63F3F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Median age, years</w:t>
            </w:r>
          </w:p>
        </w:tc>
        <w:tc>
          <w:tcPr>
            <w:tcW w:w="3535" w:type="dxa"/>
          </w:tcPr>
          <w:p w14:paraId="5AB22EA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68</w:t>
            </w:r>
          </w:p>
        </w:tc>
        <w:tc>
          <w:tcPr>
            <w:tcW w:w="3535" w:type="dxa"/>
          </w:tcPr>
          <w:p w14:paraId="45AF327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67</w:t>
            </w:r>
          </w:p>
        </w:tc>
        <w:tc>
          <w:tcPr>
            <w:tcW w:w="3535" w:type="dxa"/>
          </w:tcPr>
          <w:p w14:paraId="2BD7DD3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–</w:t>
            </w:r>
          </w:p>
        </w:tc>
      </w:tr>
      <w:tr w14:paraId="2680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4CE236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Male, %</w:t>
            </w:r>
          </w:p>
        </w:tc>
        <w:tc>
          <w:tcPr>
            <w:tcW w:w="3535" w:type="dxa"/>
          </w:tcPr>
          <w:p w14:paraId="4C31A79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66.6</w:t>
            </w:r>
          </w:p>
        </w:tc>
        <w:tc>
          <w:tcPr>
            <w:tcW w:w="3535" w:type="dxa"/>
          </w:tcPr>
          <w:p w14:paraId="4847AE5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67.5</w:t>
            </w:r>
          </w:p>
        </w:tc>
        <w:tc>
          <w:tcPr>
            <w:tcW w:w="3535" w:type="dxa"/>
          </w:tcPr>
          <w:p w14:paraId="5DD2541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–</w:t>
            </w:r>
          </w:p>
        </w:tc>
      </w:tr>
      <w:tr w14:paraId="16C47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DE01F4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Reports from healthcare professionals, %</w:t>
            </w:r>
          </w:p>
        </w:tc>
        <w:tc>
          <w:tcPr>
            <w:tcW w:w="3535" w:type="dxa"/>
          </w:tcPr>
          <w:p w14:paraId="5842B9A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87.4</w:t>
            </w:r>
          </w:p>
        </w:tc>
        <w:tc>
          <w:tcPr>
            <w:tcW w:w="3535" w:type="dxa"/>
          </w:tcPr>
          <w:p w14:paraId="4FF45C8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77.9</w:t>
            </w:r>
          </w:p>
        </w:tc>
        <w:tc>
          <w:tcPr>
            <w:tcW w:w="3535" w:type="dxa"/>
          </w:tcPr>
          <w:p w14:paraId="7093120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–</w:t>
            </w:r>
          </w:p>
        </w:tc>
      </w:tr>
      <w:tr w14:paraId="7D4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54FDFF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Fatal outcome, n (%)</w:t>
            </w:r>
          </w:p>
        </w:tc>
        <w:tc>
          <w:tcPr>
            <w:tcW w:w="3535" w:type="dxa"/>
          </w:tcPr>
          <w:p w14:paraId="5AFC608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1,362 (25.9)</w:t>
            </w:r>
          </w:p>
        </w:tc>
        <w:tc>
          <w:tcPr>
            <w:tcW w:w="3535" w:type="dxa"/>
          </w:tcPr>
          <w:p w14:paraId="0170AB8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10,015 (24.9)</w:t>
            </w:r>
          </w:p>
        </w:tc>
        <w:tc>
          <w:tcPr>
            <w:tcW w:w="3535" w:type="dxa"/>
          </w:tcPr>
          <w:p w14:paraId="5411394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0.118 a</w:t>
            </w:r>
          </w:p>
        </w:tc>
      </w:tr>
      <w:tr w14:paraId="0E19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B17D06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Reports evaluable for TTO, n</w:t>
            </w:r>
          </w:p>
        </w:tc>
        <w:tc>
          <w:tcPr>
            <w:tcW w:w="3535" w:type="dxa"/>
          </w:tcPr>
          <w:p w14:paraId="7996D45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4,253</w:t>
            </w:r>
          </w:p>
        </w:tc>
        <w:tc>
          <w:tcPr>
            <w:tcW w:w="3535" w:type="dxa"/>
          </w:tcPr>
          <w:p w14:paraId="04E0915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16,069</w:t>
            </w:r>
          </w:p>
        </w:tc>
        <w:tc>
          <w:tcPr>
            <w:tcW w:w="3535" w:type="dxa"/>
          </w:tcPr>
          <w:p w14:paraId="3E60FC7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–</w:t>
            </w:r>
          </w:p>
        </w:tc>
      </w:tr>
      <w:tr w14:paraId="4543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62D5BC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Median TTO, days [IQR]</w:t>
            </w:r>
          </w:p>
        </w:tc>
        <w:tc>
          <w:tcPr>
            <w:tcW w:w="3535" w:type="dxa"/>
          </w:tcPr>
          <w:p w14:paraId="4AA6F4F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27 [9–92]</w:t>
            </w:r>
          </w:p>
        </w:tc>
        <w:tc>
          <w:tcPr>
            <w:tcW w:w="3535" w:type="dxa"/>
          </w:tcPr>
          <w:p w14:paraId="2D67264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27 [8–91]</w:t>
            </w:r>
          </w:p>
        </w:tc>
        <w:tc>
          <w:tcPr>
            <w:tcW w:w="3535" w:type="dxa"/>
          </w:tcPr>
          <w:p w14:paraId="344FFA2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0.866 b</w:t>
            </w:r>
          </w:p>
        </w:tc>
      </w:tr>
      <w:tr w14:paraId="16C3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596F2B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Weibull shape parameter β (SE)</w:t>
            </w:r>
          </w:p>
        </w:tc>
        <w:tc>
          <w:tcPr>
            <w:tcW w:w="3535" w:type="dxa"/>
          </w:tcPr>
          <w:p w14:paraId="009488C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0.649 (0.008)</w:t>
            </w:r>
          </w:p>
        </w:tc>
        <w:tc>
          <w:tcPr>
            <w:tcW w:w="3535" w:type="dxa"/>
          </w:tcPr>
          <w:p w14:paraId="4D350D0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0.647 (0.004)</w:t>
            </w:r>
          </w:p>
        </w:tc>
        <w:tc>
          <w:tcPr>
            <w:tcW w:w="3535" w:type="dxa"/>
          </w:tcPr>
          <w:p w14:paraId="41BE580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–</w:t>
            </w:r>
          </w:p>
        </w:tc>
      </w:tr>
    </w:tbl>
    <w:p w14:paraId="5AF02F45">
      <w:r>
        <w:rPr>
          <w:rFonts w:ascii="Times New Roman" w:hAnsi="Times New Roman"/>
          <w:b w:val="0"/>
          <w:sz w:val="16"/>
        </w:rPr>
        <w:t>Notes: a Chi-square test; b Wilcoxon rank-sum test. ICI, immune checkpoint inhibitor; PPI, proton pump inhibitor; TTO, time to onset; IQR, interquartile range; SE, standard error. A Weibull shape parameter β &lt; 1 indicates an early-failure pattern (hazard decreasing over time).</w:t>
      </w:r>
    </w:p>
    <w:p w14:paraId="010167C0">
      <w:bookmarkStart w:id="0" w:name="_GoBack"/>
      <w:bookmarkEnd w:id="0"/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A3F67"/>
    <w:rsid w:val="5DBA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2026-08-26T11:07:00Z</dcterms:created>
  <dc:creator>user</dc:creator>
  <cp:lastModifiedBy>user</cp:lastModifiedBy>
  <dcterms:modified xsi:type="dcterms:W3CDTF">2026-08-26T11:09:41Z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9D96190B55624648B5909322FEF31B76_11</vt:lpwstr>
  </property>
  <property fmtid="{D5CDD505-2E9C-101B-9397-08002B2CF9AE}" pid="4" name="KSOTemplateDocerSaveRecord">
    <vt:lpwstr>eyJoZGlkIjoiNjA4YTA3M2E0ZWQ0NzRmZjcxZTE1YThlNWMxZDRhNDEiLCJ1c2VySWQiOiIyMTQ2MzAyMDYifQ==</vt:lpwstr>
  </property>
</Properties>
</file>