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FF30CB">
      <w:r>
        <w:rPr>
          <w:rFonts w:ascii="Times New Roman" w:hAnsi="Times New Roman"/>
          <w:b/>
          <w:sz w:val="22"/>
        </w:rPr>
        <w:t>Supplementary Table S3. Risk-of-bias assessment of the four RCT-derived analyses (Cochrane risk-of-bias tool applied to the parent trials).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2275"/>
        <w:gridCol w:w="1513"/>
        <w:gridCol w:w="1526"/>
        <w:gridCol w:w="1523"/>
        <w:gridCol w:w="1515"/>
        <w:gridCol w:w="1517"/>
        <w:gridCol w:w="1504"/>
        <w:gridCol w:w="1490"/>
      </w:tblGrid>
      <w:tr w14:paraId="580F0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308D151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Study</w:t>
            </w:r>
          </w:p>
        </w:tc>
        <w:tc>
          <w:tcPr>
            <w:tcW w:w="1571" w:type="dxa"/>
          </w:tcPr>
          <w:p w14:paraId="37ECEB2C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Parent trial(s)</w:t>
            </w:r>
          </w:p>
        </w:tc>
        <w:tc>
          <w:tcPr>
            <w:tcW w:w="1571" w:type="dxa"/>
          </w:tcPr>
          <w:p w14:paraId="13D93EDE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Random sequence generation</w:t>
            </w:r>
          </w:p>
        </w:tc>
        <w:tc>
          <w:tcPr>
            <w:tcW w:w="1571" w:type="dxa"/>
          </w:tcPr>
          <w:p w14:paraId="5E37AAAC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Allocation concealment</w:t>
            </w:r>
          </w:p>
        </w:tc>
        <w:tc>
          <w:tcPr>
            <w:tcW w:w="1571" w:type="dxa"/>
          </w:tcPr>
          <w:p w14:paraId="014E7205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Blinding of participants and personnel</w:t>
            </w:r>
          </w:p>
        </w:tc>
        <w:tc>
          <w:tcPr>
            <w:tcW w:w="1571" w:type="dxa"/>
          </w:tcPr>
          <w:p w14:paraId="1D728014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Blinding of outcome assessment</w:t>
            </w:r>
          </w:p>
        </w:tc>
        <w:tc>
          <w:tcPr>
            <w:tcW w:w="1571" w:type="dxa"/>
          </w:tcPr>
          <w:p w14:paraId="1B6DA9DC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Incomplete outcome data</w:t>
            </w:r>
          </w:p>
        </w:tc>
        <w:tc>
          <w:tcPr>
            <w:tcW w:w="1571" w:type="dxa"/>
          </w:tcPr>
          <w:p w14:paraId="3212B8FC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Selective reporting</w:t>
            </w:r>
          </w:p>
        </w:tc>
        <w:tc>
          <w:tcPr>
            <w:tcW w:w="1571" w:type="dxa"/>
          </w:tcPr>
          <w:p w14:paraId="5E74F4CA">
            <w:pPr>
              <w:spacing w:after="0" w:line="240" w:lineRule="auto"/>
            </w:pPr>
            <w:r>
              <w:rPr>
                <w:rFonts w:ascii="Times New Roman" w:hAnsi="Times New Roman"/>
                <w:b/>
                <w:sz w:val="17"/>
              </w:rPr>
              <w:t>Other bias</w:t>
            </w:r>
          </w:p>
        </w:tc>
      </w:tr>
      <w:tr w14:paraId="5C108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4FFA1A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Hopkins 2022b</w:t>
            </w:r>
          </w:p>
        </w:tc>
        <w:tc>
          <w:tcPr>
            <w:tcW w:w="1571" w:type="dxa"/>
          </w:tcPr>
          <w:p w14:paraId="497F87F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Five atezolizumab RCTs (incl. OAK/POPLAR/IMpower150)</w:t>
            </w:r>
          </w:p>
        </w:tc>
        <w:tc>
          <w:tcPr>
            <w:tcW w:w="1571" w:type="dxa"/>
          </w:tcPr>
          <w:p w14:paraId="36F26AF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529089A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0AEFBD1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High risk</w:t>
            </w:r>
          </w:p>
        </w:tc>
        <w:tc>
          <w:tcPr>
            <w:tcW w:w="1571" w:type="dxa"/>
          </w:tcPr>
          <w:p w14:paraId="3BBA3B5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13B8AC5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0C4DA5B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13A61D9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Unclear</w:t>
            </w:r>
          </w:p>
        </w:tc>
      </w:tr>
      <w:tr w14:paraId="0FAF6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267E0DE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Chalabi 2020</w:t>
            </w:r>
          </w:p>
        </w:tc>
        <w:tc>
          <w:tcPr>
            <w:tcW w:w="1571" w:type="dxa"/>
          </w:tcPr>
          <w:p w14:paraId="0656CA2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OAK, POPLAR</w:t>
            </w:r>
          </w:p>
        </w:tc>
        <w:tc>
          <w:tcPr>
            <w:tcW w:w="1571" w:type="dxa"/>
          </w:tcPr>
          <w:p w14:paraId="0FAB171E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6990691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07245099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High risk</w:t>
            </w:r>
          </w:p>
        </w:tc>
        <w:tc>
          <w:tcPr>
            <w:tcW w:w="1571" w:type="dxa"/>
          </w:tcPr>
          <w:p w14:paraId="591E341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1146555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7FF55B4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7DC558A5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Unclear</w:t>
            </w:r>
          </w:p>
        </w:tc>
      </w:tr>
      <w:tr w14:paraId="46EB1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38EA9D3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Hopkins 2022a</w:t>
            </w:r>
          </w:p>
        </w:tc>
        <w:tc>
          <w:tcPr>
            <w:tcW w:w="1571" w:type="dxa"/>
          </w:tcPr>
          <w:p w14:paraId="312A94D0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IMpower150</w:t>
            </w:r>
          </w:p>
        </w:tc>
        <w:tc>
          <w:tcPr>
            <w:tcW w:w="1571" w:type="dxa"/>
          </w:tcPr>
          <w:p w14:paraId="13DC021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75F7270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69ABE50F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High risk</w:t>
            </w:r>
          </w:p>
        </w:tc>
        <w:tc>
          <w:tcPr>
            <w:tcW w:w="1571" w:type="dxa"/>
          </w:tcPr>
          <w:p w14:paraId="28F97616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1894D02D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3CCFBC74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44E7810B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</w:tr>
      <w:tr w14:paraId="19C35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1" w:type="dxa"/>
          </w:tcPr>
          <w:p w14:paraId="08D9E55A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Brunetti 2026</w:t>
            </w:r>
          </w:p>
        </w:tc>
        <w:tc>
          <w:tcPr>
            <w:tcW w:w="1571" w:type="dxa"/>
          </w:tcPr>
          <w:p w14:paraId="2067D72C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PACIFIC</w:t>
            </w:r>
          </w:p>
        </w:tc>
        <w:tc>
          <w:tcPr>
            <w:tcW w:w="1571" w:type="dxa"/>
          </w:tcPr>
          <w:p w14:paraId="73A339A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22EE0E2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11964063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0AE76A02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0D2E80F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54FA0DD8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  <w:tc>
          <w:tcPr>
            <w:tcW w:w="1571" w:type="dxa"/>
          </w:tcPr>
          <w:p w14:paraId="7FCABCE1">
            <w:pPr>
              <w:spacing w:after="0" w:line="240" w:lineRule="auto"/>
            </w:pPr>
            <w:r>
              <w:rPr>
                <w:rFonts w:ascii="Times New Roman" w:hAnsi="Times New Roman"/>
                <w:sz w:val="17"/>
              </w:rPr>
              <w:t>Low risk</w:t>
            </w:r>
          </w:p>
        </w:tc>
      </w:tr>
    </w:tbl>
    <w:p w14:paraId="2A4A88F3">
      <w:r>
        <w:rPr>
          <w:rFonts w:ascii="Times New Roman" w:hAnsi="Times New Roman"/>
          <w:b w:val="0"/>
          <w:sz w:val="16"/>
        </w:rPr>
        <w:t>Notes: RCT, randomized controlled trial; IPD, individual participant data. Assessed with the Cochrane risk-of-bias tool. Blinding of participants and personnel: OAK, POPLAR, and the IMpower trials were open-label and rated high risk; PACIFIC was double-blind and placebo-controlled, rated low risk. Blinding of outcome assessment: OS is an objective endpoint, and PFS was assessed per RECIST with independent radiological review in most trials, rated low risk. Selective reporting: all parent trials were prospectively registered with publicly available protocols, and all prespecified outcomes were reported in full with effect estimates and confidence intervals, rated low risk. Other bias: the pooled analyses by Hopkins 2022b (five trials) and Chalabi 2020 (two trials) combined trials with differing designs, populations, and regimens, and residual cross-trial heterogeneity cannot be fully excluded, rated unclear; the single-trial analyses (Hopkins 2022a, Brunetti 2026) showed no other evident source of bias, rated low risk. Confounding arising from the non-randomized nature of PPI exposure is not re-assessed under this tool; it is evaluated separately with ROBINS-E (Supplementary Fig. S2).</w:t>
      </w:r>
    </w:p>
    <w:p w14:paraId="6E62F7C8">
      <w:bookmarkStart w:id="0" w:name="_GoBack"/>
      <w:bookmarkEnd w:id="0"/>
    </w:p>
    <w:sectPr>
      <w:pgSz w:w="15840" w:h="12240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Noto Serif HK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Noto Serif HK">
    <w:panose1 w:val="02020200000000000000"/>
    <w:charset w:val="88"/>
    <w:family w:val="auto"/>
    <w:pitch w:val="default"/>
    <w:sig w:usb0="20000083" w:usb1="2ADF3C10" w:usb2="00000016" w:usb3="00000000" w:csb0="60120107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8E1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707</Words>
  <Characters>3145</Characters>
  <Lines>0</Lines>
  <Paragraphs>0</Paragraphs>
  <TotalTime>0</TotalTime>
  <ScaleCrop>false</ScaleCrop>
  <LinksUpToDate>false</LinksUpToDate>
  <CharactersWithSpaces>3516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user</cp:lastModifiedBy>
  <dcterms:modified xsi:type="dcterms:W3CDTF">2026-08-26T10:13:43Z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eyJoZGlkIjoiNjA4YTA3M2E0ZWQ0NzRmZjcxZTE1YThlNWMxZDRhNDEiLCJ1c2VySWQiOiIyMTQ2MzAyMDYifQ==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B4D8B3B083CE4541A36D12E3D30FA561_13</vt:lpwstr>
  </property>
</Properties>
</file>