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9C64E">
      <w:r>
        <w:rPr>
          <w:rFonts w:ascii="Times New Roman" w:hAnsi="Times New Roman"/>
          <w:b/>
          <w:sz w:val="22"/>
        </w:rPr>
        <w:t>Supplementary Table S6. GRADE certainty-of-evidence assessment for the association of PPI exposure with outcomes of ICI therapy in NSCLC.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414"/>
        <w:gridCol w:w="1414"/>
        <w:gridCol w:w="1414"/>
        <w:gridCol w:w="1414"/>
        <w:gridCol w:w="1414"/>
        <w:gridCol w:w="1414"/>
        <w:gridCol w:w="1414"/>
        <w:gridCol w:w="1414"/>
        <w:gridCol w:w="1414"/>
      </w:tblGrid>
      <w:tr w14:paraId="44093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</w:tcPr>
          <w:p w14:paraId="796246A8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Outcome</w:t>
            </w:r>
          </w:p>
        </w:tc>
        <w:tc>
          <w:tcPr>
            <w:tcW w:w="1414" w:type="dxa"/>
          </w:tcPr>
          <w:p w14:paraId="09E5048C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Studies (patients)</w:t>
            </w:r>
          </w:p>
        </w:tc>
        <w:tc>
          <w:tcPr>
            <w:tcW w:w="1414" w:type="dxa"/>
          </w:tcPr>
          <w:p w14:paraId="4FEAC83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Pooled effect (95% CI)</w:t>
            </w:r>
          </w:p>
        </w:tc>
        <w:tc>
          <w:tcPr>
            <w:tcW w:w="1414" w:type="dxa"/>
          </w:tcPr>
          <w:p w14:paraId="32C4552D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Risk of bias</w:t>
            </w:r>
          </w:p>
        </w:tc>
        <w:tc>
          <w:tcPr>
            <w:tcW w:w="1414" w:type="dxa"/>
          </w:tcPr>
          <w:p w14:paraId="3DE3167D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Inconsistency</w:t>
            </w:r>
          </w:p>
        </w:tc>
        <w:tc>
          <w:tcPr>
            <w:tcW w:w="1414" w:type="dxa"/>
          </w:tcPr>
          <w:p w14:paraId="6A6895A7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Indirectness</w:t>
            </w:r>
          </w:p>
        </w:tc>
        <w:tc>
          <w:tcPr>
            <w:tcW w:w="1414" w:type="dxa"/>
          </w:tcPr>
          <w:p w14:paraId="05F862AB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Imprecision</w:t>
            </w:r>
          </w:p>
        </w:tc>
        <w:tc>
          <w:tcPr>
            <w:tcW w:w="1414" w:type="dxa"/>
          </w:tcPr>
          <w:p w14:paraId="3442FAD7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Publication bias</w:t>
            </w:r>
          </w:p>
        </w:tc>
        <w:tc>
          <w:tcPr>
            <w:tcW w:w="1414" w:type="dxa"/>
          </w:tcPr>
          <w:p w14:paraId="1FECB80E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Upgrading factors</w:t>
            </w:r>
          </w:p>
        </w:tc>
        <w:tc>
          <w:tcPr>
            <w:tcW w:w="1414" w:type="dxa"/>
          </w:tcPr>
          <w:p w14:paraId="360FFFE7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6"/>
              </w:rPr>
              <w:t>Certainty</w:t>
            </w:r>
          </w:p>
        </w:tc>
      </w:tr>
      <w:tr w14:paraId="58062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</w:tcPr>
          <w:p w14:paraId="0F0381C5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Overall survival</w:t>
            </w:r>
          </w:p>
        </w:tc>
        <w:tc>
          <w:tcPr>
            <w:tcW w:w="1414" w:type="dxa"/>
          </w:tcPr>
          <w:p w14:paraId="0A4FF39A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35 (58,545)</w:t>
            </w:r>
          </w:p>
        </w:tc>
        <w:tc>
          <w:tcPr>
            <w:tcW w:w="1414" w:type="dxa"/>
          </w:tcPr>
          <w:p w14:paraId="245D7A9B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HR 1.33 (1.23–1.44)</w:t>
            </w:r>
          </w:p>
        </w:tc>
        <w:tc>
          <w:tcPr>
            <w:tcW w:w="1414" w:type="dxa"/>
          </w:tcPr>
          <w:p w14:paraId="180B4D0E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 a</w:t>
            </w:r>
          </w:p>
        </w:tc>
        <w:tc>
          <w:tcPr>
            <w:tcW w:w="1414" w:type="dxa"/>
          </w:tcPr>
          <w:p w14:paraId="50F8D60B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 b</w:t>
            </w:r>
          </w:p>
        </w:tc>
        <w:tc>
          <w:tcPr>
            <w:tcW w:w="1414" w:type="dxa"/>
          </w:tcPr>
          <w:p w14:paraId="6A1D4B23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</w:t>
            </w:r>
          </w:p>
        </w:tc>
        <w:tc>
          <w:tcPr>
            <w:tcW w:w="1414" w:type="dxa"/>
          </w:tcPr>
          <w:p w14:paraId="009F94C4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</w:t>
            </w:r>
          </w:p>
        </w:tc>
        <w:tc>
          <w:tcPr>
            <w:tcW w:w="1414" w:type="dxa"/>
          </w:tcPr>
          <w:p w14:paraId="67B5FBE2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c (−1)</w:t>
            </w:r>
          </w:p>
        </w:tc>
        <w:tc>
          <w:tcPr>
            <w:tcW w:w="1414" w:type="dxa"/>
          </w:tcPr>
          <w:p w14:paraId="7BEF489D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Dose–response gradient d (+1)</w:t>
            </w:r>
          </w:p>
        </w:tc>
        <w:tc>
          <w:tcPr>
            <w:tcW w:w="1414" w:type="dxa"/>
          </w:tcPr>
          <w:p w14:paraId="2CD7773C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Low</w:t>
            </w:r>
          </w:p>
        </w:tc>
      </w:tr>
      <w:tr w14:paraId="5084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</w:tcPr>
          <w:p w14:paraId="314BCA2C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Progression-free survival</w:t>
            </w:r>
          </w:p>
        </w:tc>
        <w:tc>
          <w:tcPr>
            <w:tcW w:w="1414" w:type="dxa"/>
          </w:tcPr>
          <w:p w14:paraId="45616038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23 (9,939)</w:t>
            </w:r>
          </w:p>
        </w:tc>
        <w:tc>
          <w:tcPr>
            <w:tcW w:w="1414" w:type="dxa"/>
          </w:tcPr>
          <w:p w14:paraId="2FEB287F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HR 1.65 (1.44–1.89)</w:t>
            </w:r>
          </w:p>
        </w:tc>
        <w:tc>
          <w:tcPr>
            <w:tcW w:w="1414" w:type="dxa"/>
          </w:tcPr>
          <w:p w14:paraId="366375ED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 a</w:t>
            </w:r>
          </w:p>
        </w:tc>
        <w:tc>
          <w:tcPr>
            <w:tcW w:w="1414" w:type="dxa"/>
          </w:tcPr>
          <w:p w14:paraId="0CCAC0DF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e (−1)</w:t>
            </w:r>
          </w:p>
        </w:tc>
        <w:tc>
          <w:tcPr>
            <w:tcW w:w="1414" w:type="dxa"/>
          </w:tcPr>
          <w:p w14:paraId="32AE71F2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</w:t>
            </w:r>
          </w:p>
        </w:tc>
        <w:tc>
          <w:tcPr>
            <w:tcW w:w="1414" w:type="dxa"/>
          </w:tcPr>
          <w:p w14:paraId="6D34638D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</w:t>
            </w:r>
          </w:p>
        </w:tc>
        <w:tc>
          <w:tcPr>
            <w:tcW w:w="1414" w:type="dxa"/>
          </w:tcPr>
          <w:p w14:paraId="57E1F9E6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c (−1)</w:t>
            </w:r>
          </w:p>
        </w:tc>
        <w:tc>
          <w:tcPr>
            <w:tcW w:w="1414" w:type="dxa"/>
          </w:tcPr>
          <w:p w14:paraId="772B1AB5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None</w:t>
            </w:r>
          </w:p>
        </w:tc>
        <w:tc>
          <w:tcPr>
            <w:tcW w:w="1414" w:type="dxa"/>
          </w:tcPr>
          <w:p w14:paraId="6B60161C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Very low</w:t>
            </w:r>
          </w:p>
        </w:tc>
      </w:tr>
      <w:tr w14:paraId="43B86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</w:tcPr>
          <w:p w14:paraId="267F4CF5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Objective response rate</w:t>
            </w:r>
          </w:p>
        </w:tc>
        <w:tc>
          <w:tcPr>
            <w:tcW w:w="1414" w:type="dxa"/>
          </w:tcPr>
          <w:p w14:paraId="45776E88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10 (2,175)</w:t>
            </w:r>
          </w:p>
        </w:tc>
        <w:tc>
          <w:tcPr>
            <w:tcW w:w="1414" w:type="dxa"/>
          </w:tcPr>
          <w:p w14:paraId="1856D486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OR 1.21 (0.86–1.70) f</w:t>
            </w:r>
          </w:p>
        </w:tc>
        <w:tc>
          <w:tcPr>
            <w:tcW w:w="1414" w:type="dxa"/>
          </w:tcPr>
          <w:p w14:paraId="1EE7547C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 a</w:t>
            </w:r>
          </w:p>
        </w:tc>
        <w:tc>
          <w:tcPr>
            <w:tcW w:w="1414" w:type="dxa"/>
          </w:tcPr>
          <w:p w14:paraId="7492BBBE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e (−1)</w:t>
            </w:r>
          </w:p>
        </w:tc>
        <w:tc>
          <w:tcPr>
            <w:tcW w:w="1414" w:type="dxa"/>
          </w:tcPr>
          <w:p w14:paraId="52DE2508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</w:t>
            </w:r>
          </w:p>
        </w:tc>
        <w:tc>
          <w:tcPr>
            <w:tcW w:w="1414" w:type="dxa"/>
          </w:tcPr>
          <w:p w14:paraId="571652BA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g (−1)</w:t>
            </w:r>
          </w:p>
        </w:tc>
        <w:tc>
          <w:tcPr>
            <w:tcW w:w="1414" w:type="dxa"/>
          </w:tcPr>
          <w:p w14:paraId="00BC8308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detected h</w:t>
            </w:r>
          </w:p>
        </w:tc>
        <w:tc>
          <w:tcPr>
            <w:tcW w:w="1414" w:type="dxa"/>
          </w:tcPr>
          <w:p w14:paraId="020E4C58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None</w:t>
            </w:r>
          </w:p>
        </w:tc>
        <w:tc>
          <w:tcPr>
            <w:tcW w:w="1414" w:type="dxa"/>
          </w:tcPr>
          <w:p w14:paraId="2B7D1FBE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Very low</w:t>
            </w:r>
          </w:p>
        </w:tc>
      </w:tr>
      <w:tr w14:paraId="70E1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</w:tcPr>
          <w:p w14:paraId="40907A7D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Disease control rate</w:t>
            </w:r>
          </w:p>
        </w:tc>
        <w:tc>
          <w:tcPr>
            <w:tcW w:w="1414" w:type="dxa"/>
          </w:tcPr>
          <w:p w14:paraId="24234803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6 (764)</w:t>
            </w:r>
          </w:p>
        </w:tc>
        <w:tc>
          <w:tcPr>
            <w:tcW w:w="1414" w:type="dxa"/>
          </w:tcPr>
          <w:p w14:paraId="71A3876D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OR 1.43 (0.84–2.43) f</w:t>
            </w:r>
          </w:p>
        </w:tc>
        <w:tc>
          <w:tcPr>
            <w:tcW w:w="1414" w:type="dxa"/>
          </w:tcPr>
          <w:p w14:paraId="55551D77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 a</w:t>
            </w:r>
          </w:p>
        </w:tc>
        <w:tc>
          <w:tcPr>
            <w:tcW w:w="1414" w:type="dxa"/>
          </w:tcPr>
          <w:p w14:paraId="39BB6032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e (−1)</w:t>
            </w:r>
          </w:p>
        </w:tc>
        <w:tc>
          <w:tcPr>
            <w:tcW w:w="1414" w:type="dxa"/>
          </w:tcPr>
          <w:p w14:paraId="48DA441C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</w:t>
            </w:r>
          </w:p>
        </w:tc>
        <w:tc>
          <w:tcPr>
            <w:tcW w:w="1414" w:type="dxa"/>
          </w:tcPr>
          <w:p w14:paraId="5FC46122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g (−1)</w:t>
            </w:r>
          </w:p>
        </w:tc>
        <w:tc>
          <w:tcPr>
            <w:tcW w:w="1414" w:type="dxa"/>
          </w:tcPr>
          <w:p w14:paraId="39CD5FDD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assessed i</w:t>
            </w:r>
          </w:p>
        </w:tc>
        <w:tc>
          <w:tcPr>
            <w:tcW w:w="1414" w:type="dxa"/>
          </w:tcPr>
          <w:p w14:paraId="5A7D76E0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None</w:t>
            </w:r>
          </w:p>
        </w:tc>
        <w:tc>
          <w:tcPr>
            <w:tcW w:w="1414" w:type="dxa"/>
          </w:tcPr>
          <w:p w14:paraId="32EC807B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Very low</w:t>
            </w:r>
          </w:p>
        </w:tc>
      </w:tr>
      <w:tr w14:paraId="23C17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</w:tcPr>
          <w:p w14:paraId="771AEFBF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Immune-related adverse events</w:t>
            </w:r>
          </w:p>
        </w:tc>
        <w:tc>
          <w:tcPr>
            <w:tcW w:w="1414" w:type="dxa"/>
          </w:tcPr>
          <w:p w14:paraId="786DBB6A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6 (937)</w:t>
            </w:r>
          </w:p>
        </w:tc>
        <w:tc>
          <w:tcPr>
            <w:tcW w:w="1414" w:type="dxa"/>
          </w:tcPr>
          <w:p w14:paraId="7B66FA00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OR 0.98 (0.63–1.51) f</w:t>
            </w:r>
          </w:p>
        </w:tc>
        <w:tc>
          <w:tcPr>
            <w:tcW w:w="1414" w:type="dxa"/>
          </w:tcPr>
          <w:p w14:paraId="49A10800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 a</w:t>
            </w:r>
          </w:p>
        </w:tc>
        <w:tc>
          <w:tcPr>
            <w:tcW w:w="1414" w:type="dxa"/>
          </w:tcPr>
          <w:p w14:paraId="3D9E7005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e (−1)</w:t>
            </w:r>
          </w:p>
        </w:tc>
        <w:tc>
          <w:tcPr>
            <w:tcW w:w="1414" w:type="dxa"/>
          </w:tcPr>
          <w:p w14:paraId="2AB0AF2B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serious</w:t>
            </w:r>
          </w:p>
        </w:tc>
        <w:tc>
          <w:tcPr>
            <w:tcW w:w="1414" w:type="dxa"/>
          </w:tcPr>
          <w:p w14:paraId="557C858B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Serious g (−1)</w:t>
            </w:r>
          </w:p>
        </w:tc>
        <w:tc>
          <w:tcPr>
            <w:tcW w:w="1414" w:type="dxa"/>
          </w:tcPr>
          <w:p w14:paraId="1E00E71B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Not assessed i</w:t>
            </w:r>
          </w:p>
        </w:tc>
        <w:tc>
          <w:tcPr>
            <w:tcW w:w="1414" w:type="dxa"/>
          </w:tcPr>
          <w:p w14:paraId="2EFBAD2F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None</w:t>
            </w:r>
          </w:p>
        </w:tc>
        <w:tc>
          <w:tcPr>
            <w:tcW w:w="1414" w:type="dxa"/>
          </w:tcPr>
          <w:p w14:paraId="62EBA364">
            <w:pPr>
              <w:spacing w:after="0" w:line="240" w:lineRule="auto"/>
            </w:pPr>
            <w:r>
              <w:rPr>
                <w:rFonts w:ascii="Times New Roman" w:hAnsi="Times New Roman"/>
                <w:sz w:val="16"/>
              </w:rPr>
              <w:t>Very low</w:t>
            </w:r>
          </w:p>
        </w:tc>
      </w:tr>
    </w:tbl>
    <w:p w14:paraId="3F2C1345">
      <w:r>
        <w:rPr>
          <w:rFonts w:ascii="Times New Roman" w:hAnsi="Times New Roman"/>
          <w:b w:val="0"/>
          <w:sz w:val="16"/>
        </w:rPr>
        <w:t xml:space="preserve">Notes: GRADE, Grading of Recommendations Assessment, Development and Evaluation; HR, hazard ratio; OR, odds ratio; CI, confidence interval. PPI exposure was non-randomized in all included studies (including RCT-derived post hoc analyses); the body of evidence therefore starts at "low" certainty as non-randomized evidence. a The starting level already reflects the inherent risk of bias of non-randomized designs; sensitivity analyses excluding high-risk studies yielded stable results, so no additional downgrade was applied. b </w:t>
      </w:r>
      <w:r>
        <w:rPr>
          <w:rFonts w:ascii="Times New Roman" w:hAnsi="Times New Roman"/>
          <w:b w:val="0"/>
          <w:i/>
          <w:iCs/>
          <w:sz w:val="16"/>
        </w:rPr>
        <w:t>I²</w:t>
      </w:r>
      <w:r>
        <w:rPr>
          <w:rFonts w:ascii="Times New Roman" w:hAnsi="Times New Roman"/>
          <w:b w:val="0"/>
          <w:sz w:val="16"/>
        </w:rPr>
        <w:t xml:space="preserve"> = 75%, but the direction of effect was highly consistent across studies and regional subgroup analysis partly explained the heterogeneity (between-subgroup </w:t>
      </w:r>
      <w:r>
        <w:rPr>
          <w:rFonts w:ascii="Times New Roman" w:hAnsi="Times New Roman"/>
          <w:b w:val="0"/>
          <w:i/>
          <w:iCs/>
          <w:sz w:val="16"/>
        </w:rPr>
        <w:t>P</w:t>
      </w:r>
      <w:r>
        <w:rPr>
          <w:rFonts w:ascii="Times New Roman" w:hAnsi="Times New Roman"/>
          <w:b w:val="0"/>
          <w:sz w:val="16"/>
        </w:rPr>
        <w:t xml:space="preserve"> = 0.0005); not downgraded. c Marked funnel-plot asymmetry with </w:t>
      </w:r>
      <w:r>
        <w:rPr>
          <w:rFonts w:ascii="Times New Roman" w:hAnsi="Times New Roman"/>
          <w:b w:val="0"/>
          <w:i/>
          <w:iCs/>
          <w:sz w:val="16"/>
        </w:rPr>
        <w:t xml:space="preserve">Egger </w:t>
      </w:r>
      <w:r>
        <w:rPr>
          <w:rFonts w:ascii="Times New Roman" w:hAnsi="Times New Roman"/>
          <w:b w:val="0"/>
          <w:sz w:val="16"/>
        </w:rPr>
        <w:t>test</w:t>
      </w:r>
      <w:r>
        <w:rPr>
          <w:rFonts w:ascii="Times New Roman" w:hAnsi="Times New Roman"/>
          <w:b w:val="0"/>
          <w:i/>
          <w:iCs/>
          <w:sz w:val="16"/>
        </w:rPr>
        <w:t xml:space="preserve"> P</w:t>
      </w:r>
      <w:r>
        <w:rPr>
          <w:rFonts w:ascii="Times New Roman" w:hAnsi="Times New Roman"/>
          <w:b w:val="0"/>
          <w:sz w:val="16"/>
        </w:rPr>
        <w:t xml:space="preserve"> ≤ 0.001, indicating publication bias or small-study effects; downgraded one level. d Dose–response relationship: higher cumulative PPI dose (DDD strata) and longer exposure duration were associated with progressively worse survival outcomes; upgraded one level. e</w:t>
      </w:r>
      <w:r>
        <w:rPr>
          <w:rFonts w:ascii="Times New Roman" w:hAnsi="Times New Roman"/>
          <w:b w:val="0"/>
          <w:i/>
          <w:iCs/>
          <w:sz w:val="16"/>
        </w:rPr>
        <w:t xml:space="preserve"> I² </w:t>
      </w:r>
      <w:r>
        <w:rPr>
          <w:rFonts w:ascii="Times New Roman" w:hAnsi="Times New Roman"/>
          <w:b w:val="0"/>
          <w:sz w:val="16"/>
        </w:rPr>
        <w:t xml:space="preserve">= 55–69% with substantial unexplained heterogeneity; downgraded one level. f OR expresses the odds in non-exposed relative to PPI-exposed patients. g Wide 95% CI crossing the null value of 1; downgraded one level. h Egger test </w:t>
      </w:r>
      <w:r>
        <w:rPr>
          <w:rFonts w:ascii="Times New Roman" w:hAnsi="Times New Roman"/>
          <w:b w:val="0"/>
          <w:i/>
          <w:iCs/>
          <w:sz w:val="16"/>
        </w:rPr>
        <w:t>P</w:t>
      </w:r>
      <w:r>
        <w:rPr>
          <w:rFonts w:ascii="Times New Roman" w:hAnsi="Times New Roman"/>
          <w:b w:val="0"/>
          <w:sz w:val="16"/>
        </w:rPr>
        <w:t xml:space="preserve"> = 0.189, no marked asymmetry. i Fewer than 10 studies; publication-bi</w:t>
      </w:r>
      <w:bookmarkStart w:id="0" w:name="_GoBack"/>
      <w:bookmarkEnd w:id="0"/>
      <w:r>
        <w:rPr>
          <w:rFonts w:ascii="Times New Roman" w:hAnsi="Times New Roman"/>
          <w:b w:val="0"/>
          <w:sz w:val="16"/>
        </w:rPr>
        <w:t>as testing not performed per Cochrane Handbook guidance.</w:t>
      </w:r>
    </w:p>
    <w:p w14:paraId="1DE6771D"/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F0238"/>
    <w:rsid w:val="328F0238"/>
    <w:rsid w:val="6FFA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2025</Characters>
  <Lines>0</Lines>
  <Paragraphs>0</Paragraphs>
  <TotalTime>0</TotalTime>
  <ScaleCrop>false</ScaleCrop>
  <LinksUpToDate>false</LinksUpToDate>
  <CharactersWithSpaces>2324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2026-08-26T11:07:00Z</dcterms:created>
  <dc:creator>user</dc:creator>
  <cp:lastModifiedBy>user</cp:lastModifiedBy>
  <dcterms:modified xsi:type="dcterms:W3CDTF">2026-08-26T11:45:34Z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74AA6820EAB3476EBF015DAABEF17736_11</vt:lpwstr>
  </property>
  <property fmtid="{D5CDD505-2E9C-101B-9397-08002B2CF9AE}" pid="4" name="KSOTemplateDocerSaveRecord">
    <vt:lpwstr>eyJoZGlkIjoiNjA4YTA3M2E0ZWQ0NzRmZjcxZTE1YThlNWMxZDRhNDEiLCJ1c2VySWQiOiIyMTQ2MzAyMDYifQ==</vt:lpwstr>
  </property>
</Properties>
</file>