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7B4A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Fig. S1. Risk of bias of the four RCT-derived analyses (Cochrane risk-of-bias tool). </w:t>
      </w:r>
      <w:r>
        <w:rPr>
          <w:rFonts w:ascii="Times New Roman" w:hAnsi="Times New Roman" w:cs="Times New Roman"/>
          <w:sz w:val="24"/>
        </w:rPr>
        <w:t>(A) Judgements for each domain per analysis; (B) judgements as percentages across analyses. Green, low risk; yellow, unclear; red, high risk.</w:t>
      </w:r>
    </w:p>
    <w:p w14:paraId="56F47D1B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7C7049A0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S2. Risk of bias of the studies in quantitative synthesis (ROBINS-E).</w:t>
      </w:r>
      <w:r>
        <w:rPr>
          <w:rFonts w:ascii="Times New Roman" w:hAnsi="Times New Roman" w:cs="Times New Roman"/>
          <w:sz w:val="24"/>
        </w:rPr>
        <w:t xml:space="preserve"> (A) Domain-level judgements per study; (B) distribution of judgements per domain (D1–D7: confounding, exposure measurement, participant selection, post-exposure interventions, missing data, outcome measurement, selective reporting). Green, low risk; yellow, some concerns; red, high risk.</w:t>
      </w:r>
    </w:p>
    <w:p w14:paraId="7AC570A3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037F249D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S3. Forest plot of the association between PPI exposure and objective response rate</w:t>
      </w:r>
      <w:r>
        <w:rPr>
          <w:rFonts w:ascii="Times New Roman" w:hAnsi="Times New Roman" w:cs="Times New Roman"/>
          <w:sz w:val="24"/>
        </w:rPr>
        <w:t>. Odds ratios express the odds of response in non-exposed relative to PPI-exposed patients; pooled with a random-effects model.</w:t>
      </w:r>
    </w:p>
    <w:p w14:paraId="3FAC5734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519A3A42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S4. Forest plot of the association between PPI exposure and disease control rate.</w:t>
      </w:r>
      <w:r>
        <w:rPr>
          <w:rFonts w:ascii="Times New Roman" w:hAnsi="Times New Roman" w:cs="Times New Roman"/>
          <w:sz w:val="24"/>
        </w:rPr>
        <w:t xml:space="preserve"> Odds ratios express the odds of disease control in non-exposed relative to PPI-exposed patients; pooled with a random-effects model. Takada 2022, which reported only an inverse-probability-weighted estimate, was not included in pooling.</w:t>
      </w:r>
    </w:p>
    <w:p w14:paraId="24B9E40C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0A6E73AF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S5. Forest plot of the association between PPI exposure and overall immune-related adverse events.</w:t>
      </w:r>
      <w:r>
        <w:rPr>
          <w:rFonts w:ascii="Times New Roman" w:hAnsi="Times New Roman" w:cs="Times New Roman"/>
          <w:sz w:val="24"/>
        </w:rPr>
        <w:t xml:space="preserve"> Odds ratios express the odds of irAEs in non-exposed relative to PPI-exposed patients; pooled with a random-effects model. Husain 2021 and Bai 2024, which reported no event counts, were not included in pooling.</w:t>
      </w:r>
    </w:p>
    <w:p w14:paraId="4A58B373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47E9296E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S6. Subgroup analyses of overall survival by (A) treatment regimen and (B) ICI class.</w:t>
      </w:r>
      <w:r>
        <w:rPr>
          <w:rFonts w:ascii="Times New Roman" w:hAnsi="Times New Roman" w:cs="Times New Roman"/>
          <w:sz w:val="24"/>
        </w:rPr>
        <w:t xml:space="preserve"> Hazard ratios express the risk in PPI-exposed relative to non-exposed patients; pooled with random-effects models. The ICI-class analysis was restricted to studies with class-homogeneous cohorts. Neither factor significantly modified the association (interaction </w:t>
      </w:r>
      <w:r>
        <w:rPr>
          <w:rFonts w:ascii="Times New Roman" w:hAnsi="Times New Roman" w:cs="Times New Roman"/>
          <w:i/>
          <w:iCs/>
          <w:sz w:val="24"/>
        </w:rPr>
        <w:t xml:space="preserve">P </w:t>
      </w:r>
      <w:r>
        <w:rPr>
          <w:rFonts w:ascii="Times New Roman" w:hAnsi="Times New Roman" w:cs="Times New Roman"/>
          <w:sz w:val="24"/>
        </w:rPr>
        <w:t>= 0.48 and 0.52, respectively).</w:t>
      </w:r>
    </w:p>
    <w:p w14:paraId="56E734F4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7EE7663A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S7. Sensitivity analysis of overall survival stratified by risk of bias (ROBINS-E)</w:t>
      </w:r>
      <w:r>
        <w:rPr>
          <w:rFonts w:ascii="Times New Roman" w:hAnsi="Times New Roman" w:cs="Times New Roman"/>
          <w:sz w:val="24"/>
        </w:rPr>
        <w:t xml:space="preserve">. The high-risk subgroup comprises the four high-risk-of-bias studies contributing to the OS analysis; excluding them did not materially change the pooled estimate (between-subgroup 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= 0.20).</w:t>
      </w:r>
    </w:p>
    <w:p w14:paraId="0E49CD5D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405819DD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S8. Funnel plots for all meta-analyses</w:t>
      </w:r>
      <w:r>
        <w:rPr>
          <w:rFonts w:ascii="Times New Roman" w:hAnsi="Times New Roman" w:cs="Times New Roman"/>
          <w:sz w:val="24"/>
        </w:rPr>
        <w:t xml:space="preserve">. (A) OS; (B) PFS; (C) ORR; (D) DCR; (E) overall irAEs; (F–I) OS subgroup analyses by treatment regimen, timing of PPI exposure, ICI class, and study region, respectively. </w:t>
      </w:r>
      <w:r>
        <w:rPr>
          <w:rFonts w:ascii="Times New Roman" w:hAnsi="Times New Roman" w:cs="Times New Roman"/>
          <w:i/>
          <w:iCs/>
          <w:sz w:val="24"/>
        </w:rPr>
        <w:t xml:space="preserve">Egger </w:t>
      </w:r>
      <w:r>
        <w:rPr>
          <w:rFonts w:ascii="Times New Roman" w:hAnsi="Times New Roman" w:cs="Times New Roman"/>
          <w:sz w:val="24"/>
        </w:rPr>
        <w:t>tests were significant for OS (</w:t>
      </w:r>
      <w:r>
        <w:rPr>
          <w:rFonts w:ascii="Times New Roman" w:hAnsi="Times New Roman" w:cs="Times New Roman"/>
          <w:i/>
          <w:iCs/>
          <w:sz w:val="24"/>
        </w:rPr>
        <w:t xml:space="preserve">P </w:t>
      </w:r>
      <w:r>
        <w:rPr>
          <w:rFonts w:ascii="Times New Roman" w:hAnsi="Times New Roman" w:cs="Times New Roman"/>
          <w:sz w:val="24"/>
        </w:rPr>
        <w:t>&lt; 0.001) and PFS (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= 0.001) but not ORR (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= 0.189); outcomes with fewer than ten studies were assessed visually only.</w:t>
      </w:r>
    </w:p>
    <w:p w14:paraId="0EE50C27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040FF7FB" w14:textId="77777777" w:rsidR="009D0F7B" w:rsidRDefault="009D0F7B" w:rsidP="009D0F7B">
      <w:pPr>
        <w:spacing w:line="36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Fig. S9. Time-to-onset distribution of adverse events in the NSCLC population of FAERS (0–365 days shown)</w:t>
      </w:r>
      <w:r>
        <w:rPr>
          <w:rFonts w:ascii="Times New Roman" w:hAnsi="Times New Roman" w:cs="Times New Roman"/>
          <w:sz w:val="24"/>
        </w:rPr>
        <w:t xml:space="preserve">. Median time to onset was 27 days in both groups (ICI + PPI vs. ICI only; Wilcoxon rank-sum 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= 0.866), with Weibull shape parameters below 1 in both groups (</w:t>
      </w:r>
      <w:r>
        <w:rPr>
          <w:rFonts w:ascii="Times New Roman" w:hAnsi="Times New Roman" w:cs="Times New Roman"/>
          <w:i/>
          <w:iCs/>
          <w:sz w:val="24"/>
        </w:rPr>
        <w:t>β</w:t>
      </w:r>
      <w:r>
        <w:rPr>
          <w:rFonts w:ascii="Times New Roman" w:hAnsi="Times New Roman" w:cs="Times New Roman"/>
          <w:sz w:val="24"/>
        </w:rPr>
        <w:t xml:space="preserve"> = 0.649 vs. 0.647), indicating an early-failure pattern.</w:t>
      </w:r>
    </w:p>
    <w:p w14:paraId="73A91A6B" w14:textId="77777777" w:rsidR="009D0F7B" w:rsidRDefault="009D0F7B" w:rsidP="009D0F7B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3B9E15B8" w14:textId="77777777" w:rsidR="009D0F7B" w:rsidRDefault="009D0F7B" w:rsidP="009D0F7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Supplementary Table S1. Complete search strategies for the seven databases (from database inception to August 2026).</w:t>
      </w:r>
    </w:p>
    <w:p w14:paraId="3AB3F841" w14:textId="77777777" w:rsidR="009D0F7B" w:rsidRDefault="009D0F7B" w:rsidP="009D0F7B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</w:p>
    <w:p w14:paraId="2547A93C" w14:textId="77777777" w:rsidR="009D0F7B" w:rsidRDefault="009D0F7B" w:rsidP="009D0F7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S2. Characteristics of the 44 included studies.</w:t>
      </w:r>
    </w:p>
    <w:p w14:paraId="4934318C" w14:textId="77777777" w:rsidR="009D0F7B" w:rsidRDefault="009D0F7B" w:rsidP="009D0F7B">
      <w:pPr>
        <w:jc w:val="center"/>
        <w:rPr>
          <w:rFonts w:ascii="Times New Roman" w:hAnsi="Times New Roman"/>
          <w:b/>
          <w:sz w:val="24"/>
        </w:rPr>
      </w:pPr>
    </w:p>
    <w:p w14:paraId="725D9E06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S3. Risk-of-bias assessment of the four RCT-derived analyses (Cochrane risk-of-bias tool applied to the parent trials).</w:t>
      </w:r>
    </w:p>
    <w:p w14:paraId="0C84480A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CC64D9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S4. Newcastle–Ottawa Scale quality scores of the 40 observational studies.</w:t>
      </w:r>
    </w:p>
    <w:p w14:paraId="4145C208" w14:textId="77777777" w:rsidR="009D0F7B" w:rsidRDefault="009D0F7B" w:rsidP="009D0F7B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</w:p>
    <w:p w14:paraId="2C3187A5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S5. Severe (grade ≥ 3) immune-related adverse events reported by the included studies</w:t>
      </w:r>
    </w:p>
    <w:p w14:paraId="032D9D83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005288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S6. GRADE certainty-of-evidence assessment for the association of PPI exposure with outcomes of ICI therapy in NSCLC.</w:t>
      </w:r>
    </w:p>
    <w:p w14:paraId="0F6AD7C5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E4590E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S7. Baseline characteristics, time to onset, and fatal outcomes of FAERS reports (NSCLC-restricted population).</w:t>
      </w:r>
    </w:p>
    <w:p w14:paraId="23393708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00EDEE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S8. Adverse-event signals positive in three of the four validation analyses (n = 106).</w:t>
      </w:r>
    </w:p>
    <w:p w14:paraId="6FB4B89C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1B2579" w14:textId="77777777" w:rsidR="009D0F7B" w:rsidRDefault="009D0F7B" w:rsidP="009D0F7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Table S9. Core adverse-event signals positive in all four validation analyses (n = 38).</w:t>
      </w:r>
    </w:p>
    <w:p w14:paraId="25A7A021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7B"/>
    <w:rsid w:val="001D3053"/>
    <w:rsid w:val="001E3A92"/>
    <w:rsid w:val="00217E67"/>
    <w:rsid w:val="002C7D54"/>
    <w:rsid w:val="0033371E"/>
    <w:rsid w:val="00352839"/>
    <w:rsid w:val="005C0D39"/>
    <w:rsid w:val="0070406C"/>
    <w:rsid w:val="00724754"/>
    <w:rsid w:val="007B36B1"/>
    <w:rsid w:val="009D0F7B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6FEAB"/>
  <w15:chartTrackingRefBased/>
  <w15:docId w15:val="{20F8BBA9-59C7-4B8A-AC91-04EC1ED1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7B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F7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F7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F7B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F7B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F7B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F7B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F7B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F7B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F7B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F7B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F7B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F7B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F7B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F7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2026-10-12T08:08:00Z</dcterms:created>
  <dcterms:modified xsi:type="dcterms:W3CDTF">2026-10-12T08:08:00Z</dcterms:modified>
</cp:coreProperties>
</file>