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67AF1">
      <w:r>
        <w:rPr>
          <w:rFonts w:ascii="Times New Roman" w:hAnsi="Times New Roman"/>
          <w:b/>
          <w:sz w:val="22"/>
        </w:rPr>
        <w:t>Supplementary Table S5. Severe (grade ≥ 3) immune-related adverse events reported by the included studies.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2828"/>
        <w:gridCol w:w="2828"/>
        <w:gridCol w:w="2828"/>
        <w:gridCol w:w="2828"/>
      </w:tblGrid>
      <w:tr w14:paraId="1353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 w14:paraId="30926E0A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Study</w:t>
            </w:r>
          </w:p>
        </w:tc>
        <w:tc>
          <w:tcPr>
            <w:tcW w:w="2828" w:type="dxa"/>
          </w:tcPr>
          <w:p w14:paraId="7884C91E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N</w:t>
            </w:r>
          </w:p>
        </w:tc>
        <w:tc>
          <w:tcPr>
            <w:tcW w:w="2828" w:type="dxa"/>
          </w:tcPr>
          <w:p w14:paraId="1935EAC9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Reporting basis</w:t>
            </w:r>
          </w:p>
        </w:tc>
        <w:tc>
          <w:tcPr>
            <w:tcW w:w="2828" w:type="dxa"/>
          </w:tcPr>
          <w:p w14:paraId="6C82E162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Main findings</w:t>
            </w:r>
          </w:p>
        </w:tc>
        <w:tc>
          <w:tcPr>
            <w:tcW w:w="2828" w:type="dxa"/>
          </w:tcPr>
          <w:p w14:paraId="29AA9A8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Stratified by PPI exposure</w:t>
            </w:r>
          </w:p>
        </w:tc>
      </w:tr>
      <w:tr w14:paraId="2CCB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 w14:paraId="3E24BC7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Miyamoto 2026</w:t>
            </w:r>
          </w:p>
        </w:tc>
        <w:tc>
          <w:tcPr>
            <w:tcW w:w="2828" w:type="dxa"/>
          </w:tcPr>
          <w:p w14:paraId="523B0A2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228</w:t>
            </w:r>
          </w:p>
        </w:tc>
        <w:tc>
          <w:tcPr>
            <w:tcW w:w="2828" w:type="dxa"/>
          </w:tcPr>
          <w:p w14:paraId="26F65C7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Grade ≥ 3 checkpoint-inhibitor pneumonitis, by PPI exposure</w:t>
            </w:r>
          </w:p>
        </w:tc>
        <w:tc>
          <w:tcPr>
            <w:tcW w:w="2828" w:type="dxa"/>
          </w:tcPr>
          <w:p w14:paraId="4A72B66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4.9% in PPI users vs. 4.3% in non-users, P = 0.746</w:t>
            </w:r>
          </w:p>
        </w:tc>
        <w:tc>
          <w:tcPr>
            <w:tcW w:w="2828" w:type="dxa"/>
          </w:tcPr>
          <w:p w14:paraId="2C0B86D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Yes</w:t>
            </w:r>
          </w:p>
        </w:tc>
      </w:tr>
      <w:tr w14:paraId="1D2A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 w14:paraId="6F3F962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Miura 2021</w:t>
            </w:r>
          </w:p>
        </w:tc>
        <w:tc>
          <w:tcPr>
            <w:tcW w:w="2828" w:type="dxa"/>
          </w:tcPr>
          <w:p w14:paraId="29FDD03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300</w:t>
            </w:r>
          </w:p>
        </w:tc>
        <w:tc>
          <w:tcPr>
            <w:tcW w:w="2828" w:type="dxa"/>
          </w:tcPr>
          <w:p w14:paraId="6CED850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Grade ≥ 3 irAEs, whole cohort</w:t>
            </w:r>
          </w:p>
        </w:tc>
        <w:tc>
          <w:tcPr>
            <w:tcW w:w="2828" w:type="dxa"/>
          </w:tcPr>
          <w:p w14:paraId="59BF6AE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38 cases (12.7%); no concomitant medication was significantly associated with irAE occurrence</w:t>
            </w:r>
          </w:p>
        </w:tc>
        <w:tc>
          <w:tcPr>
            <w:tcW w:w="2828" w:type="dxa"/>
          </w:tcPr>
          <w:p w14:paraId="60CFA02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No</w:t>
            </w:r>
          </w:p>
        </w:tc>
      </w:tr>
      <w:tr w14:paraId="07934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 w14:paraId="57C0DEB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Saiki 2025</w:t>
            </w:r>
          </w:p>
        </w:tc>
        <w:tc>
          <w:tcPr>
            <w:tcW w:w="2828" w:type="dxa"/>
          </w:tcPr>
          <w:p w14:paraId="7769E00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124</w:t>
            </w:r>
          </w:p>
        </w:tc>
        <w:tc>
          <w:tcPr>
            <w:tcW w:w="2828" w:type="dxa"/>
          </w:tcPr>
          <w:p w14:paraId="5BFCD0B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Grading of irAE events, whole cohort</w:t>
            </w:r>
          </w:p>
        </w:tc>
        <w:tc>
          <w:tcPr>
            <w:tcW w:w="2828" w:type="dxa"/>
          </w:tcPr>
          <w:p w14:paraId="1D12E3C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26 of 84 irAE events were grade ≥ 3</w:t>
            </w:r>
          </w:p>
        </w:tc>
        <w:tc>
          <w:tcPr>
            <w:tcW w:w="2828" w:type="dxa"/>
          </w:tcPr>
          <w:p w14:paraId="7600B5C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No</w:t>
            </w:r>
          </w:p>
        </w:tc>
      </w:tr>
      <w:tr w14:paraId="589D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 w14:paraId="014B9A1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Wei 2025</w:t>
            </w:r>
          </w:p>
        </w:tc>
        <w:tc>
          <w:tcPr>
            <w:tcW w:w="2828" w:type="dxa"/>
          </w:tcPr>
          <w:p w14:paraId="5892F11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112</w:t>
            </w:r>
          </w:p>
        </w:tc>
        <w:tc>
          <w:tcPr>
            <w:tcW w:w="2828" w:type="dxa"/>
          </w:tcPr>
          <w:p w14:paraId="347CDB4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Grade ≥ 3 irAEs, whole cohort</w:t>
            </w:r>
          </w:p>
        </w:tc>
        <w:tc>
          <w:tcPr>
            <w:tcW w:w="2828" w:type="dxa"/>
          </w:tcPr>
          <w:p w14:paraId="1626442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 cases (2.7%); no grade 4–5 events</w:t>
            </w:r>
          </w:p>
        </w:tc>
        <w:tc>
          <w:tcPr>
            <w:tcW w:w="2828" w:type="dxa"/>
          </w:tcPr>
          <w:p w14:paraId="75DF58D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No</w:t>
            </w:r>
          </w:p>
        </w:tc>
      </w:tr>
      <w:tr w14:paraId="37AB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 w14:paraId="397FC18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Bai 2024</w:t>
            </w:r>
          </w:p>
        </w:tc>
        <w:tc>
          <w:tcPr>
            <w:tcW w:w="2828" w:type="dxa"/>
          </w:tcPr>
          <w:p w14:paraId="1F5F189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200</w:t>
            </w:r>
          </w:p>
        </w:tc>
        <w:tc>
          <w:tcPr>
            <w:tcW w:w="2828" w:type="dxa"/>
          </w:tcPr>
          <w:p w14:paraId="38B09D3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Between-group comparison of 9 adverse-reaction categories (not graded)</w:t>
            </w:r>
          </w:p>
        </w:tc>
        <w:tc>
          <w:tcPr>
            <w:tcW w:w="2828" w:type="dxa"/>
          </w:tcPr>
          <w:p w14:paraId="4A9359A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No significant between-group difference in any category</w:t>
            </w:r>
          </w:p>
        </w:tc>
        <w:tc>
          <w:tcPr>
            <w:tcW w:w="2828" w:type="dxa"/>
          </w:tcPr>
          <w:p w14:paraId="7B5A8E3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Partial*</w:t>
            </w:r>
          </w:p>
        </w:tc>
      </w:tr>
    </w:tbl>
    <w:p w14:paraId="33716302">
      <w:r>
        <w:rPr>
          <w:rFonts w:ascii="Times New Roman" w:hAnsi="Times New Roman"/>
          <w:b w:val="0"/>
          <w:sz w:val="16"/>
        </w:rPr>
        <w:t>Notes: irAE, immune-related adverse event; ICI, immune checkpoint inhibitor; PPI, proton pump inhibitor. The remaining three studies reporting irAEs (Conde-Estévez 2020, Husain 2021, and Du 2022) did not report adverse-event grading. *Bai 2024 compared adverse reactions between groups by category but did not stratify by CTCAE grade.</w:t>
      </w:r>
    </w:p>
    <w:p w14:paraId="5B2D6338"/>
    <w:p w14:paraId="020355A7">
      <w:bookmarkStart w:id="0" w:name="_GoBack"/>
      <w:bookmarkEnd w:id="0"/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Noto Serif H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Noto Serif HK">
    <w:panose1 w:val="02020200000000000000"/>
    <w:charset w:val="88"/>
    <w:family w:val="auto"/>
    <w:pitch w:val="default"/>
    <w:sig w:usb0="20000083" w:usb1="2ADF3C10" w:usb2="00000016" w:usb3="00000000" w:csb0="6012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A6C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699</Words>
  <Characters>3837</Characters>
  <Lines>0</Lines>
  <Paragraphs>0</Paragraphs>
  <TotalTime>0</TotalTime>
  <ScaleCrop>false</ScaleCrop>
  <LinksUpToDate>false</LinksUpToDate>
  <CharactersWithSpaces>4399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2026-08-26T11:07:05Z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eyJoZGlkIjoiNjA4YTA3M2E0ZWQ0NzRmZjcxZTE1YThlNWMxZDRhNDEiLCJ1c2VySWQiOiIyMTQ2MzAyMDYifQ==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E69E8B56CBF24B7E9A633DB868501EB4_13</vt:lpwstr>
  </property>
</Properties>
</file>