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PRISMA 2020 Checklist</w:t>
      </w:r>
    </w:p>
    <w:p>
      <w:pPr>
        <w:jc w:val="center"/>
      </w:pPr>
      <w:r>
        <w:rPr>
          <w:b/>
          <w:sz w:val="20"/>
        </w:rPr>
        <w:t>How Common Are Auditory Manifestations in Vestibular Migraine? A Systematic Review and Meta-Analysis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09"/>
        <w:gridCol w:w="2909"/>
        <w:gridCol w:w="2909"/>
        <w:gridCol w:w="2909"/>
        <w:gridCol w:w="2909"/>
      </w:tblGrid>
      <w:tr>
        <w:trPr>
          <w:tblHeader w:val="true"/>
          <w:cantSplit/>
        </w:trPr>
        <w:tc>
          <w:tcPr>
            <w:tcW w:type="dxa" w:w="1080"/>
            <w:vAlign w:val="center"/>
            <w:shd w:fill="D9E2F3"/>
          </w:tcPr>
          <w:p>
            <w:pPr>
              <w:jc w:val="center"/>
            </w:pPr>
            <w:r>
              <w:rPr>
                <w:b/>
                <w:sz w:val="16"/>
              </w:rPr>
              <w:t>Section</w:t>
            </w:r>
          </w:p>
        </w:tc>
        <w:tc>
          <w:tcPr>
            <w:tcW w:type="dxa" w:w="648"/>
            <w:vAlign w:val="center"/>
            <w:shd w:fill="D9E2F3"/>
          </w:tcPr>
          <w:p>
            <w:pPr>
              <w:jc w:val="center"/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type="dxa" w:w="4824"/>
            <w:vAlign w:val="center"/>
            <w:shd w:fill="D9E2F3"/>
          </w:tcPr>
          <w:p>
            <w:pPr>
              <w:jc w:val="center"/>
            </w:pPr>
            <w:r>
              <w:rPr>
                <w:b/>
                <w:sz w:val="16"/>
              </w:rPr>
              <w:t>PRISMA 2020 requirement</w:t>
            </w:r>
          </w:p>
        </w:tc>
        <w:tc>
          <w:tcPr>
            <w:tcW w:type="dxa" w:w="4032"/>
            <w:vAlign w:val="center"/>
            <w:shd w:fill="D9E2F3"/>
          </w:tcPr>
          <w:p>
            <w:pPr>
              <w:jc w:val="center"/>
            </w:pPr>
            <w:r>
              <w:rPr>
                <w:b/>
                <w:sz w:val="16"/>
              </w:rPr>
              <w:t>Location in current manuscript / supplements</w:t>
            </w:r>
          </w:p>
        </w:tc>
        <w:tc>
          <w:tcPr>
            <w:tcW w:type="dxa" w:w="5904"/>
            <w:vAlign w:val="center"/>
            <w:shd w:fill="D9E2F3"/>
          </w:tcPr>
          <w:p>
            <w:pPr>
              <w:jc w:val="center"/>
            </w:pPr>
            <w:r>
              <w:rPr>
                <w:b/>
                <w:sz w:val="16"/>
              </w:rPr>
              <w:t>Status / final note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TITLE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Identify the report as a systematic review.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Title, p. 1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Reported in the title.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ABSTRACT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See the PRISMA 2020 for Abstracts checklist.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Abstract, pp. 1–2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Structured objective, methods, results and conclusion reported; final counts are 15 studies, 12 AF studies (n=1,967) and 13 tinnitus studies (n=1,887).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INTRODUCTION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the rationale for the review in the context of existing knowledge.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Introduction, p. 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INTRODUCTION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Provide an explicit statement of the objective(s) or question(s) the review addresses.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End of Introduction, pp. 3–4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Specify inclusion and exclusion criteria and how studies were grouped for syntheses.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Eligibility criteria and Outcomes, pp. 5–7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Reported; quantitative and narrative syntheses are distinguished by outcome and data compatibility.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Specify all information sources and the date each source was last searched.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Information sources and search strategy, pp. 4–5; Appendix S1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PubMed, Scopus and Cochrane Library reported. Initial export: 17 June 2026; final update: 10 July 2026.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7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Present the full search strategies for all databases, registers and websites, including filters and limits.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Supplementary Appendix S1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Full PubMed, Scopus and Cochrane strategies reported; no documented language, date or publication-type restrictions.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Specify the methods used to decide whether a study met the inclusion criteria, including reviewer independence.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Study selection, p. 6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Two reviewers independently screened and assessed full texts; disagreements resolved by consensus.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9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Specify the methods used to collect data, including reviewer independence and processes for obtaining or confirming data.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Data extraction, pp. 6–7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Two reviewers independently extracted data; discrepancies resolved by consensus.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10a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List and define all outcomes for which data were sought, and specify whether all compatible results were sought.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Outcomes, p. 7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Aural fullness and tinnitus were quantitative outcomes; hearing loss, audiometric abnormalities and hyperacusis were narrative outcomes.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10b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List and define all other variables for which data were sought and describe assumptions made about missing or unclear information.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Data extraction, pp. 6–7; Table S1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Study design, population, diagnostic criteria, comparators and ascertainment methods reported. Non-extractable denominators were not imputed.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11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Specify the methods used to assess risk of bias, including tool(s), reviewers and consensus procedures.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Risk of bias assessment, p. 7; Table S3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JBI design-specific tools; two independent reviewers; domain-level responses reported without a numerical quality score.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12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Specify the effect measure(s) for each outcome.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Statistical analysis, p. 8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Pooled prevalence with 95% confidence intervals.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13a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the processes used to decide which studies were eligible for each synthesis.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Eligibility criteria, Outcomes and Statistical analysis, pp. 5–8; Table S1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13b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any methods required to prepare data for presentation or synthesis.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Statistical analysis, p. 8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Logit transformation and back-transformation reported.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13c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methods used to tabulate or visually display results.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Table 1; Figures 1–3; Tables S1–S3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Study characteristics, PRISMA flow diagram, forest plots and supplementary tables reported.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13d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methods used to synthesize results and justify choices, including heterogeneity methods and software.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Statistical analysis, p. 8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Random-effects model; DerSimonian–Laird estimator; Cochran Q; I²; R with meta and metafor.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13e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methods used to explore possible causes of heterogeneity.</w:t>
            </w:r>
          </w:p>
        </w:tc>
        <w:tc>
          <w:tcPr>
            <w:tcW w:type="dxa" w:w="4032"/>
            <w:vAlign w:val="top"/>
          </w:tcPr>
          <w:p>
            <w:r>
              <w:t>Strengths and Limitations, pp. 22–23</w:t>
            </w:r>
          </w:p>
        </w:tc>
        <w:tc>
          <w:tcPr>
            <w:tcW w:type="dxa" w:w="5904"/>
            <w:vAlign w:val="top"/>
          </w:tcPr>
          <w:p>
            <w:r>
              <w:t>No formal subgroup analysis or meta-regression was performed; potential sources of heterogeneity are discussed qualitatively.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13f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sensitivity analyses conducted to assess robustness.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Not performed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No formal sensitivity analysis was conducted. This should remain stated transparently unless an additional REML/Hartung–Knapp analysis is added.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14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methods used to assess risk of bias due to missing results in a synthesis.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Statistical analysis, p. 8; Strengths and Limitations, p. 23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Formal publication-bias testing was not performed because of limited study numbers and considerable heterogeneity.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METHODS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15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methods used to assess certainty/confidence in the body of evidence.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Strengths and Limitations, p. 23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No formal certainty-of-evidence framework was applied.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16a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the results of the search and selection process, ideally with a flow diagram.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Study selection, pp. 9–10; Figure 1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524 records identified; 166 duplicates removed; 358 screened; 275 excluded; 83 sought; 1 not retrieved; 82 full texts assessed; 67 excluded; 15 studies included.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16b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Cite studies that might appear to meet the inclusion criteria but were excluded, and explain why.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Supplementary Table S1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Key near-eligible and primary-pooling exclusions are listed with reasons.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17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Cite each included study and present its characteristics.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Characteristics of included studies, pp. 11–12; Table 1; Table S1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Fifteen included studies are characterized.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18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Present risk-of-bias assessments for each included study.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Risk of bias assessment, p. 15; Table S3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Study-level JBI assessment reported for all 15 included studies.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19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For all outcomes, present summary statistics for each study and, where applicable, effect estimates and precision.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Results, pp. 13–15; Table S2; Figures 2–3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Patient-level n/N, study prevalence and 95% CI reported for AF and tinnitus; narrative outcomes reported in text.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20a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For each synthesis, briefly summarize the characteristics and risk of bias of contributing studies.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Characteristics, risk-of-bias results and Discussion, pp. 11–23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20b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Present results of all statistical syntheses, including precision and heterogeneity.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Meta-analysis results, pp. 13–14; Figures 2–3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AF: 28.8% (95% CI 19.8–40.0%; I²=95.3%); tinnitus: 40.7% (95% CI 30.3–52.0%; I²=94.7%).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20c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Present results of investigations of possible causes of heterogeneity.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Discussion, pp. 16–23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No formal subgroup analysis/meta-regression; qualitative sources of heterogeneity discussed.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20d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Present results of sensitivity analyses.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Not applicable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No formal sensitivity analysis was conducted.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21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Present assessments of risk of bias due to missing results for each synthesis.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Strengths and Limitations, p. 23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Not formally assessed; potential publication and language-related selection effects acknowledged.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RESULTS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22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Present assessments of certainty/confidence in the body of evidence.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Strengths and Limitations, p. 23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No formal certainty framework applied.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DISCUSSION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23a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Provide a general interpretation of the results in the context of other evidence.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Discussion, pp. 16–22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DISCUSSION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23b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Discuss limitations of the evidence included in the review.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Strengths and Limitations, pp. 22–23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DISCUSSION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23c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Discuss limitations of the review processes used.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Strengths and Limitations, p. 23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Reported, including no registration/protocol, no formal certainty assessment and no publication-bias testing.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DISCUSSION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23d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Discuss implications of the results for practice, policy and future research.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Clinical Implications, pp. 21–22; Conclusion, p. 24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OTHER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24a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Provide registration information, including register name and registration number, or state that the review was not registered.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Reporting guidelines and review methods, p. 4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Not prospectively registered.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OTHER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24b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Indicate where the review protocol can be accessed, or state that no protocol was prepared.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Reporting guidelines and review methods, p. 4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No formal public protocol.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OTHER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24c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and explain amendments to information provided at registration or in the protocol.</w:t>
            </w:r>
          </w:p>
        </w:tc>
        <w:tc>
          <w:tcPr>
            <w:tcW w:type="dxa" w:w="4032"/>
            <w:vAlign w:val="top"/>
          </w:tcPr>
          <w:p>
            <w:pPr>
              <w:spacing w:after="0"/>
            </w:pPr>
            <w:r>
              <w:rPr>
                <w:sz w:val="15"/>
              </w:rPr>
              <w:t>Not applicable</w:t>
            </w:r>
          </w:p>
        </w:tc>
        <w:tc>
          <w:tcPr>
            <w:tcW w:type="dxa" w:w="5904"/>
            <w:vAlign w:val="top"/>
          </w:tcPr>
          <w:p>
            <w:pPr>
              <w:spacing w:after="0"/>
            </w:pPr>
            <w:r>
              <w:rPr>
                <w:sz w:val="15"/>
              </w:rPr>
              <w:t>Not applicable because the review was not registered and no public protocol was available.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OTHER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25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Describe sources of financial or non-financial support and the role of funders or sponsors.</w:t>
            </w:r>
          </w:p>
        </w:tc>
        <w:tc>
          <w:tcPr>
            <w:tcW w:type="dxa" w:w="4032"/>
            <w:vAlign w:val="top"/>
          </w:tcPr>
          <w:p>
            <w:r>
              <w:t>Funding, p. 26</w:t>
            </w:r>
          </w:p>
        </w:tc>
        <w:tc>
          <w:tcPr>
            <w:tcW w:type="dxa" w:w="5904"/>
            <w:vAlign w:val="top"/>
          </w:tcPr>
          <w:p>
            <w:r>
              <w:t>The manuscript states that the research received no external funding.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OTHER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26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Declare competing interests of review authors.</w:t>
            </w:r>
          </w:p>
        </w:tc>
        <w:tc>
          <w:tcPr>
            <w:tcW w:type="dxa" w:w="4032"/>
            <w:vAlign w:val="top"/>
          </w:tcPr>
          <w:p>
            <w:r>
              <w:t>Conflicts of Interest, p. 27</w:t>
            </w:r>
          </w:p>
        </w:tc>
        <w:tc>
          <w:tcPr>
            <w:tcW w:type="dxa" w:w="5904"/>
            <w:vAlign w:val="top"/>
          </w:tcPr>
          <w:p>
            <w:r>
              <w:t>The authors declare no conflicts of interest.</w:t>
            </w:r>
          </w:p>
        </w:tc>
      </w:tr>
      <w:tr>
        <w:trPr>
          <w:cantSplit/>
        </w:trPr>
        <w:tc>
          <w:tcPr>
            <w:tcW w:type="dxa" w:w="1080"/>
            <w:vAlign w:val="top"/>
          </w:tcPr>
          <w:p>
            <w:pPr>
              <w:spacing w:after="0"/>
            </w:pPr>
            <w:r>
              <w:rPr>
                <w:sz w:val="15"/>
              </w:rPr>
              <w:t>OTHER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sz w:val="15"/>
              </w:rPr>
              <w:t>27</w:t>
            </w:r>
          </w:p>
        </w:tc>
        <w:tc>
          <w:tcPr>
            <w:tcW w:type="dxa" w:w="4824"/>
            <w:vAlign w:val="top"/>
          </w:tcPr>
          <w:p>
            <w:pPr>
              <w:spacing w:after="0"/>
            </w:pPr>
            <w:r>
              <w:rPr>
                <w:sz w:val="15"/>
              </w:rPr>
              <w:t>Report which materials are publicly available and where they can be found.</w:t>
            </w:r>
          </w:p>
        </w:tc>
        <w:tc>
          <w:tcPr>
            <w:tcW w:type="dxa" w:w="4032"/>
            <w:vAlign w:val="top"/>
          </w:tcPr>
          <w:p>
            <w:r>
              <w:t>Supplementary Materials, p. 26; Data Availability Statement, p. 27</w:t>
            </w:r>
          </w:p>
        </w:tc>
        <w:tc>
          <w:tcPr>
            <w:tcW w:type="dxa" w:w="5904"/>
            <w:vAlign w:val="top"/>
          </w:tcPr>
          <w:p>
            <w:r>
              <w:t>Supplementary Tables S1–S3, Appendix S1 and the PRISMA checklist are provided; study-level data are included in the supplementary materials and additional analytic files are available from the corresponding author on reasonable request.</w:t>
            </w:r>
          </w:p>
        </w:tc>
      </w:tr>
    </w:tbl>
    <w:p>
      <w:pPr>
        <w:spacing w:before="100" w:after="0"/>
      </w:pPr>
      <w:r>
        <w:t>Final note. This checklist is aligned with the current 15-study manuscript and the final supplementary files.</w:t>
      </w:r>
    </w:p>
    <w:sectPr w:rsidR="00FC693F" w:rsidRPr="0006063C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