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rial" w:hAnsi="Arial"/>
          <w:b/>
          <w:sz w:val="28"/>
        </w:rPr>
        <w:t>Supplementary Table S3</w:t>
      </w:r>
    </w:p>
    <w:p>
      <w:pPr>
        <w:spacing w:after="120"/>
        <w:jc w:val="center"/>
      </w:pPr>
      <w:r>
        <w:rPr>
          <w:rFonts w:ascii="Arial" w:hAnsi="Arial"/>
          <w:i/>
          <w:sz w:val="21"/>
        </w:rPr>
        <w:t>JBI-based risk-of-bias assessment</w:t>
      </w:r>
    </w:p>
    <w:p>
      <w:pPr>
        <w:spacing w:after="100" w:line="240" w:lineRule="auto"/>
      </w:pPr>
      <w:r>
        <w:rPr>
          <w:rFonts w:ascii="Arial" w:hAnsi="Arial"/>
          <w:sz w:val="17"/>
        </w:rPr>
        <w:t>Assessments were performed independently by A.-M.P. and R.C., with disagreements resolved through discussion and consensus. Y = yes; N = no; U = unclear; NA = not applicable. The appropriate JBI design-specific appraisal tool was used for each study. For compact presentation, design-specific items were mapped to the harmonised domains shown below; no numerical quality score was calculated. Overall concern was classified as low when Q1 and Q3–Q8 were rated Y; an unclear rating for Q2 alone did not increase the overall concern. All other patterns were classified as some concerns. Applicability limitations were considered separately from methodological risk of bias.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3"/>
        <w:gridCol w:w="1413"/>
        <w:gridCol w:w="1413"/>
        <w:gridCol w:w="1413"/>
        <w:gridCol w:w="1413"/>
        <w:gridCol w:w="1413"/>
        <w:gridCol w:w="1413"/>
        <w:gridCol w:w="1413"/>
        <w:gridCol w:w="1413"/>
        <w:gridCol w:w="1413"/>
        <w:gridCol w:w="1413"/>
      </w:tblGrid>
      <w:tr>
        <w:trPr>
          <w:tblHeader w:val="true"/>
        </w:trPr>
        <w:tc>
          <w:tcPr>
            <w:tcW w:type="dxa" w:w="2088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2F75B5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Study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2F75B5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Q1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2F75B5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Q2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2F75B5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Q3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2F75B5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Q4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2F75B5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Q5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2F75B5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Q6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2F75B5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Q7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2F75B5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Q8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2F75B5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Q9</w:t>
            </w:r>
          </w:p>
        </w:tc>
        <w:tc>
          <w:tcPr>
            <w:tcW w:type="dxa" w:w="165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2F75B5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Overall concern</w:t>
            </w:r>
          </w:p>
        </w:tc>
      </w:tr>
      <w:tr>
        <w:tc>
          <w:tcPr>
            <w:tcW w:type="dxa" w:w="2088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Kırkım 2017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U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U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U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NA</w:t>
            </w:r>
          </w:p>
        </w:tc>
        <w:tc>
          <w:tcPr>
            <w:tcW w:type="dxa" w:w="165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Some concerns</w:t>
            </w:r>
          </w:p>
        </w:tc>
      </w:tr>
      <w:tr>
        <w:tc>
          <w:tcPr>
            <w:tcW w:type="dxa" w:w="2088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Teggi 2018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U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NA</w:t>
            </w:r>
          </w:p>
        </w:tc>
        <w:tc>
          <w:tcPr>
            <w:tcW w:type="dxa" w:w="165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Low concern</w:t>
            </w:r>
          </w:p>
        </w:tc>
      </w:tr>
      <w:tr>
        <w:tc>
          <w:tcPr>
            <w:tcW w:type="dxa" w:w="2088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Zhang 2016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U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U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U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NA</w:t>
            </w:r>
          </w:p>
        </w:tc>
        <w:tc>
          <w:tcPr>
            <w:tcW w:type="dxa" w:w="165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Some concerns</w:t>
            </w:r>
          </w:p>
        </w:tc>
      </w:tr>
      <w:tr>
        <w:tc>
          <w:tcPr>
            <w:tcW w:type="dxa" w:w="2088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Martínez 2017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U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U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U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U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U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U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NA</w:t>
            </w:r>
          </w:p>
        </w:tc>
        <w:tc>
          <w:tcPr>
            <w:tcW w:type="dxa" w:w="165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Some concerns</w:t>
            </w:r>
          </w:p>
        </w:tc>
      </w:tr>
      <w:tr>
        <w:tc>
          <w:tcPr>
            <w:tcW w:type="dxa" w:w="2088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Çelebisoy 2022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U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NA</w:t>
            </w:r>
          </w:p>
        </w:tc>
        <w:tc>
          <w:tcPr>
            <w:tcW w:type="dxa" w:w="165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Low concern</w:t>
            </w:r>
          </w:p>
        </w:tc>
      </w:tr>
      <w:tr>
        <w:tc>
          <w:tcPr>
            <w:tcW w:type="dxa" w:w="2088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Li 2022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U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U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NA</w:t>
            </w:r>
          </w:p>
        </w:tc>
        <w:tc>
          <w:tcPr>
            <w:tcW w:type="dxa" w:w="165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Some concerns</w:t>
            </w:r>
          </w:p>
        </w:tc>
      </w:tr>
      <w:tr>
        <w:tc>
          <w:tcPr>
            <w:tcW w:type="dxa" w:w="2088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Morganti 2016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U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U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U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NA</w:t>
            </w:r>
          </w:p>
        </w:tc>
        <w:tc>
          <w:tcPr>
            <w:tcW w:type="dxa" w:w="165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Some concerns</w:t>
            </w:r>
          </w:p>
        </w:tc>
      </w:tr>
      <w:tr>
        <w:tc>
          <w:tcPr>
            <w:tcW w:type="dxa" w:w="2088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Shi 2022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U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U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NA</w:t>
            </w:r>
          </w:p>
        </w:tc>
        <w:tc>
          <w:tcPr>
            <w:tcW w:type="dxa" w:w="165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Some concerns</w:t>
            </w:r>
          </w:p>
        </w:tc>
      </w:tr>
      <w:tr>
        <w:tc>
          <w:tcPr>
            <w:tcW w:type="dxa" w:w="2088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Liu et al. 2025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U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NA</w:t>
            </w:r>
          </w:p>
        </w:tc>
        <w:tc>
          <w:tcPr>
            <w:tcW w:type="dxa" w:w="165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Low concern</w:t>
            </w:r>
          </w:p>
        </w:tc>
      </w:tr>
      <w:tr>
        <w:tc>
          <w:tcPr>
            <w:tcW w:type="dxa" w:w="2088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Haritha 2025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U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U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U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NA</w:t>
            </w:r>
          </w:p>
        </w:tc>
        <w:tc>
          <w:tcPr>
            <w:tcW w:type="dxa" w:w="165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Some concerns</w:t>
            </w:r>
          </w:p>
        </w:tc>
      </w:tr>
      <w:tr>
        <w:tc>
          <w:tcPr>
            <w:tcW w:type="dxa" w:w="2088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Zhang 2025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U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U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NA</w:t>
            </w:r>
          </w:p>
        </w:tc>
        <w:tc>
          <w:tcPr>
            <w:tcW w:type="dxa" w:w="165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Some concerns</w:t>
            </w:r>
          </w:p>
        </w:tc>
      </w:tr>
      <w:tr>
        <w:tc>
          <w:tcPr>
            <w:tcW w:type="dxa" w:w="2088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Haro-Hernandez 2025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U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U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U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NA</w:t>
            </w:r>
          </w:p>
        </w:tc>
        <w:tc>
          <w:tcPr>
            <w:tcW w:type="dxa" w:w="165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Some concerns</w:t>
            </w:r>
          </w:p>
        </w:tc>
      </w:tr>
      <w:tr>
        <w:tc>
          <w:tcPr>
            <w:tcW w:type="dxa" w:w="2088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Kwak 2026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U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NA</w:t>
            </w:r>
          </w:p>
        </w:tc>
        <w:tc>
          <w:tcPr>
            <w:tcW w:type="dxa" w:w="165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Low concern</w:t>
            </w:r>
          </w:p>
        </w:tc>
      </w:tr>
      <w:tr>
        <w:tc>
          <w:tcPr>
            <w:tcW w:type="dxa" w:w="2088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Jiang 2025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U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U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NA</w:t>
            </w:r>
          </w:p>
        </w:tc>
        <w:tc>
          <w:tcPr>
            <w:tcW w:type="dxa" w:w="165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FFFFFF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Some concerns</w:t>
            </w:r>
          </w:p>
        </w:tc>
      </w:tr>
      <w:tr>
        <w:tc>
          <w:tcPr>
            <w:tcW w:type="dxa" w:w="2088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Turğut 2026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U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U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U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Y</w:t>
            </w:r>
          </w:p>
        </w:tc>
        <w:tc>
          <w:tcPr>
            <w:tcW w:type="dxa" w:w="662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NA</w:t>
            </w:r>
          </w:p>
        </w:tc>
        <w:tc>
          <w:tcPr>
            <w:tcW w:type="dxa" w:w="165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  <w:shd w:fill="D9EAF7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Some concerns</w:t>
            </w:r>
          </w:p>
        </w:tc>
      </w:tr>
    </w:tbl>
    <w:p>
      <w:pPr>
        <w:spacing w:before="100" w:after="20"/>
      </w:pPr>
      <w:r>
        <w:rPr>
          <w:rFonts w:ascii="Arial" w:hAnsi="Arial"/>
          <w:b/>
          <w:sz w:val="16"/>
        </w:rPr>
        <w:t xml:space="preserve">Harmonised domains: </w:t>
      </w:r>
      <w:r>
        <w:rPr>
          <w:rFonts w:ascii="Arial" w:hAnsi="Arial"/>
          <w:sz w:val="16"/>
        </w:rPr>
        <w:t>Q1 appropriate sample frame; Q2 appropriate sampling method; Q3 adequate sample size; Q4 adequate description of participants and setting; Q5 sufficient coverage of the identified sample; Q6 valid methods for identification of the condition; Q7 standard and reliable outcome measurement; Q8 appropriate statistical analysis; Q9 adequate response rate or appropriate management of low response.</w:t>
      </w:r>
    </w:p>
    <w:p>
      <w:pPr>
        <w:spacing w:after="0"/>
      </w:pPr>
      <w:r>
        <w:rPr>
          <w:rFonts w:ascii="Arial" w:hAnsi="Arial"/>
          <w:b/>
          <w:sz w:val="16"/>
        </w:rPr>
        <w:t xml:space="preserve">Methodological note: </w:t>
      </w:r>
      <w:r>
        <w:rPr>
          <w:rFonts w:ascii="Arial" w:hAnsi="Arial"/>
          <w:sz w:val="16"/>
        </w:rPr>
        <w:t>Comparative, cross-sectional and prevalence-oriented studies were appraised using the corresponding JBI design-specific checklist and mapped to equivalent domains for presentation. Turğut 2026 was appraised using the methodological information available in the published report; uncertainty was retained for sampling-related domains. The broader clinical applicability of individual populations was documented separately in Supplementary Table S1 and was not incorporated into the overall risk-of-bias judgement.</w:t>
      </w:r>
    </w:p>
    <w:sectPr w:rsidR="00FC693F" w:rsidRPr="0006063C" w:rsidSect="00034616">
      <w:pgSz w:w="16834" w:h="11909" w:orient="landscape"/>
      <w:pgMar w:top="648" w:right="648" w:bottom="64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