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179FC">
      <w:pPr>
        <w:jc w:val="left"/>
      </w:pPr>
      <w:r>
        <w:rPr>
          <w:b/>
          <w:sz w:val="26"/>
        </w:rPr>
        <w:t>Appendix: Coding Framework</w:t>
      </w:r>
    </w:p>
    <w:p w14:paraId="1B60E123">
      <w:pPr>
        <w:spacing w:after="200"/>
        <w:jc w:val="both"/>
      </w:pPr>
      <w:r>
        <w:t>Interview notes, field notes, and documentary materials were analyzed thematically. Coding proceeded from initial open co</w:t>
      </w:r>
      <w:bookmarkStart w:id="0" w:name="_GoBack"/>
      <w:bookmarkEnd w:id="0"/>
      <w:r>
        <w:t>des toward four overarching themes corresponding to the mechanisms through which the community-based organization sustains the living transmission of paper-cutting. The framework below summarizes the themes, subthemes, and illustrative codes.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595"/>
        <w:gridCol w:w="3694"/>
      </w:tblGrid>
      <w:tr w14:paraId="10CC3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single" w:color="auto" w:sz="8" w:space="0"/>
              <w:left w:val="nil"/>
              <w:bottom w:val="single" w:color="auto" w:sz="6" w:space="0"/>
              <w:right w:val="nil"/>
              <w:insideH w:val="nil"/>
              <w:insideV w:val="nil"/>
            </w:tcBorders>
          </w:tcPr>
          <w:p w14:paraId="6A97ACEE">
            <w:r>
              <w:rPr>
                <w:b/>
                <w:sz w:val="22"/>
              </w:rPr>
              <w:t>Theme</w:t>
            </w:r>
          </w:p>
        </w:tc>
        <w:tc>
          <w:tcPr>
            <w:tcW w:w="2595" w:type="dxa"/>
            <w:tcBorders>
              <w:top w:val="single" w:color="auto" w:sz="8" w:space="0"/>
              <w:left w:val="nil"/>
              <w:bottom w:val="single" w:color="auto" w:sz="6" w:space="0"/>
              <w:right w:val="nil"/>
              <w:insideH w:val="nil"/>
              <w:insideV w:val="nil"/>
            </w:tcBorders>
          </w:tcPr>
          <w:p w14:paraId="176043C5">
            <w:r>
              <w:rPr>
                <w:b/>
                <w:sz w:val="22"/>
              </w:rPr>
              <w:t>Subtheme</w:t>
            </w:r>
          </w:p>
        </w:tc>
        <w:tc>
          <w:tcPr>
            <w:tcW w:w="3694" w:type="dxa"/>
            <w:tcBorders>
              <w:top w:val="single" w:color="auto" w:sz="8" w:space="0"/>
              <w:left w:val="nil"/>
              <w:bottom w:val="single" w:color="auto" w:sz="6" w:space="0"/>
              <w:right w:val="nil"/>
              <w:insideH w:val="nil"/>
              <w:insideV w:val="nil"/>
            </w:tcBorders>
          </w:tcPr>
          <w:p w14:paraId="4D52F050">
            <w:r>
              <w:rPr>
                <w:b/>
                <w:sz w:val="22"/>
              </w:rPr>
              <w:t>Illustrative codes</w:t>
            </w:r>
          </w:p>
        </w:tc>
      </w:tr>
      <w:tr w14:paraId="7250B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restart"/>
            <w:tcBorders>
              <w:top w:val="nil"/>
              <w:left w:val="nil"/>
              <w:right w:val="nil"/>
              <w:insideH w:val="nil"/>
              <w:insideV w:val="nil"/>
            </w:tcBorders>
          </w:tcPr>
          <w:p w14:paraId="467AD0CC">
            <w:pPr>
              <w:rPr>
                <w:sz w:val="22"/>
              </w:rPr>
            </w:pPr>
          </w:p>
          <w:p w14:paraId="73DC37A6">
            <w:r>
              <w:rPr>
                <w:sz w:val="22"/>
              </w:rPr>
              <w:t>1. Institutionalization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CFF9A33">
            <w:r>
              <w:rPr>
                <w:sz w:val="22"/>
              </w:rPr>
              <w:t>1.1 From spontaneous activity to organized team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8B179C">
            <w:r>
              <w:rPr>
                <w:sz w:val="22"/>
              </w:rPr>
              <w:t>founding story; residents' committee support; formalization; dual function (skill and service)</w:t>
            </w:r>
          </w:p>
        </w:tc>
      </w:tr>
      <w:tr w14:paraId="658BE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  <w:tcBorders>
              <w:left w:val="nil"/>
              <w:bottom w:val="nil"/>
              <w:right w:val="nil"/>
              <w:insideH w:val="nil"/>
              <w:insideV w:val="nil"/>
            </w:tcBorders>
          </w:tcPr>
          <w:p w14:paraId="735BEF25"/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DD9E64">
            <w:r>
              <w:rPr>
                <w:sz w:val="22"/>
              </w:rPr>
              <w:t>1.2 Routines and norms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B1B5056">
            <w:r>
              <w:rPr>
                <w:sz w:val="22"/>
              </w:rPr>
              <w:t>regular gatherings; rules</w:t>
            </w:r>
          </w:p>
        </w:tc>
      </w:tr>
      <w:tr w14:paraId="1C63B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restart"/>
            <w:tcBorders>
              <w:top w:val="nil"/>
              <w:left w:val="nil"/>
              <w:right w:val="nil"/>
              <w:insideH w:val="nil"/>
              <w:insideV w:val="nil"/>
            </w:tcBorders>
          </w:tcPr>
          <w:p w14:paraId="6BCCE6FC">
            <w:pPr>
              <w:rPr>
                <w:sz w:val="22"/>
              </w:rPr>
            </w:pPr>
          </w:p>
          <w:p w14:paraId="52797615">
            <w:pPr>
              <w:rPr>
                <w:sz w:val="22"/>
              </w:rPr>
            </w:pPr>
          </w:p>
          <w:p w14:paraId="0F138EA3">
            <w:r>
              <w:rPr>
                <w:sz w:val="22"/>
              </w:rPr>
              <w:t>2. Intergenerational relay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FFEC07D">
            <w:r>
              <w:rPr>
                <w:sz w:val="22"/>
              </w:rPr>
              <w:t>2.1 Leadership succession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2E7758">
            <w:r>
              <w:rPr>
                <w:sz w:val="22"/>
              </w:rPr>
              <w:t>three-generation handover; mentoring core members</w:t>
            </w:r>
          </w:p>
        </w:tc>
      </w:tr>
      <w:tr w14:paraId="516D8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  <w:tcBorders>
              <w:left w:val="nil"/>
              <w:right w:val="nil"/>
              <w:insideH w:val="nil"/>
              <w:insideV w:val="nil"/>
            </w:tcBorders>
          </w:tcPr>
          <w:p w14:paraId="427B6CB6"/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D0BE7F">
            <w:r>
              <w:rPr>
                <w:sz w:val="22"/>
              </w:rPr>
              <w:t>2.2 Stratified training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318329B">
            <w:r>
              <w:rPr>
                <w:sz w:val="22"/>
              </w:rPr>
              <w:t>novice vs. experienced; layered teaching; from imitation to design</w:t>
            </w:r>
          </w:p>
        </w:tc>
      </w:tr>
      <w:tr w14:paraId="5C465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  <w:tcBorders>
              <w:left w:val="nil"/>
              <w:bottom w:val="nil"/>
              <w:right w:val="nil"/>
              <w:insideH w:val="nil"/>
              <w:insideV w:val="nil"/>
            </w:tcBorders>
          </w:tcPr>
          <w:p w14:paraId="04C64792"/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D22C7E">
            <w:r>
              <w:rPr>
                <w:sz w:val="22"/>
              </w:rPr>
              <w:t>2.3 Dual identity of leaders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16E7447">
            <w:r>
              <w:rPr>
                <w:sz w:val="22"/>
              </w:rPr>
              <w:t>leaders as community social workers; boundary spanning; channeling resources</w:t>
            </w:r>
          </w:p>
        </w:tc>
      </w:tr>
      <w:tr w14:paraId="6EFEC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restart"/>
            <w:tcBorders>
              <w:top w:val="nil"/>
              <w:left w:val="nil"/>
              <w:right w:val="nil"/>
              <w:insideH w:val="nil"/>
              <w:insideV w:val="nil"/>
            </w:tcBorders>
          </w:tcPr>
          <w:p w14:paraId="5F97AB82">
            <w:pPr>
              <w:rPr>
                <w:sz w:val="22"/>
              </w:rPr>
            </w:pPr>
          </w:p>
          <w:p w14:paraId="28766DA1">
            <w:pPr>
              <w:rPr>
                <w:sz w:val="22"/>
              </w:rPr>
            </w:pPr>
          </w:p>
          <w:p w14:paraId="37047E9C">
            <w:r>
              <w:rPr>
                <w:sz w:val="22"/>
              </w:rPr>
              <w:t>3. Digital engagement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C49A93">
            <w:r>
              <w:rPr>
                <w:sz w:val="22"/>
              </w:rPr>
              <w:t>3.1 Online teaching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36F28B9">
            <w:r>
              <w:rPr>
                <w:sz w:val="22"/>
              </w:rPr>
              <w:t>WeChat group; livestreaming classes; sharing works</w:t>
            </w:r>
          </w:p>
        </w:tc>
      </w:tr>
      <w:tr w14:paraId="4A26A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  <w:tcBorders>
              <w:left w:val="nil"/>
              <w:right w:val="nil"/>
              <w:insideH w:val="nil"/>
              <w:insideV w:val="nil"/>
            </w:tcBorders>
          </w:tcPr>
          <w:p w14:paraId="47E21A1A"/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1D00419">
            <w:r>
              <w:rPr>
                <w:sz w:val="22"/>
              </w:rPr>
              <w:t>3.2 Online-offline synergy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476F15">
            <w:r>
              <w:rPr>
                <w:sz w:val="22"/>
              </w:rPr>
              <w:t>pandemic adaptation; extending reach</w:t>
            </w:r>
          </w:p>
        </w:tc>
      </w:tr>
      <w:tr w14:paraId="3669E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  <w:tcBorders>
              <w:left w:val="nil"/>
              <w:bottom w:val="nil"/>
              <w:right w:val="nil"/>
              <w:insideH w:val="nil"/>
              <w:insideV w:val="nil"/>
            </w:tcBorders>
          </w:tcPr>
          <w:p w14:paraId="1B6596AE"/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67AFC4">
            <w:pPr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 w:eastAsia="宋体"/>
                <w:sz w:val="22"/>
                <w:lang w:val="en-US" w:eastAsia="zh-CN"/>
              </w:rPr>
              <w:t>3.3 Spatial (re)production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DB560E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training room reappropriation; space of places and space of flows; online-offline spatial integration</w:t>
            </w:r>
          </w:p>
        </w:tc>
      </w:tr>
      <w:tr w14:paraId="03533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restart"/>
            <w:tcBorders>
              <w:top w:val="nil"/>
              <w:left w:val="nil"/>
              <w:right w:val="nil"/>
              <w:insideH w:val="nil"/>
              <w:insideV w:val="nil"/>
            </w:tcBorders>
          </w:tcPr>
          <w:p w14:paraId="5295A59B">
            <w:pPr>
              <w:rPr>
                <w:sz w:val="22"/>
              </w:rPr>
            </w:pPr>
          </w:p>
          <w:p w14:paraId="3A8AFCAD">
            <w:r>
              <w:rPr>
                <w:sz w:val="22"/>
              </w:rPr>
              <w:t>4. Public recognition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2D7945A">
            <w:r>
              <w:rPr>
                <w:sz w:val="22"/>
              </w:rPr>
              <w:t>4.1 Public display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BE6A660">
            <w:r>
              <w:rPr>
                <w:sz w:val="22"/>
              </w:rPr>
              <w:t>exhibitions; anniversary show</w:t>
            </w:r>
          </w:p>
        </w:tc>
      </w:tr>
      <w:tr w14:paraId="78B81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  <w:tcBorders>
              <w:left w:val="nil"/>
              <w:bottom w:val="single" w:color="auto" w:sz="8" w:space="0"/>
              <w:right w:val="nil"/>
              <w:insideH w:val="nil"/>
              <w:insideV w:val="nil"/>
            </w:tcBorders>
          </w:tcPr>
          <w:p w14:paraId="74BD4921"/>
        </w:tc>
        <w:tc>
          <w:tcPr>
            <w:tcW w:w="2595" w:type="dxa"/>
            <w:tcBorders>
              <w:top w:val="nil"/>
              <w:left w:val="nil"/>
              <w:bottom w:val="single" w:color="auto" w:sz="8" w:space="0"/>
              <w:right w:val="nil"/>
              <w:insideH w:val="nil"/>
              <w:insideV w:val="nil"/>
            </w:tcBorders>
          </w:tcPr>
          <w:p w14:paraId="38F0511D">
            <w:r>
              <w:rPr>
                <w:sz w:val="22"/>
              </w:rPr>
              <w:t>4.2 Institutional and social recognition</w:t>
            </w:r>
          </w:p>
        </w:tc>
        <w:tc>
          <w:tcPr>
            <w:tcW w:w="3694" w:type="dxa"/>
            <w:tcBorders>
              <w:top w:val="nil"/>
              <w:left w:val="nil"/>
              <w:bottom w:val="single" w:color="auto" w:sz="8" w:space="0"/>
              <w:right w:val="nil"/>
              <w:insideH w:val="nil"/>
              <w:insideV w:val="nil"/>
            </w:tcBorders>
          </w:tcPr>
          <w:p w14:paraId="37D9EE63">
            <w:r>
              <w:rPr>
                <w:sz w:val="22"/>
              </w:rPr>
              <w:t>official honors; community brand; residents' appreciation</w:t>
            </w:r>
          </w:p>
        </w:tc>
      </w:tr>
    </w:tbl>
    <w:p w14:paraId="5B4F57BD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608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1128</Characters>
  <Lines>0</Lines>
  <Paragraphs>0</Paragraphs>
  <TotalTime>6</TotalTime>
  <ScaleCrop>false</ScaleCrop>
  <LinksUpToDate>false</LinksUpToDate>
  <CharactersWithSpaces>1258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孙贝贝</cp:lastModifiedBy>
  <dcterms:modified xsi:type="dcterms:W3CDTF">2026-09-15T13:33:58Z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eyJoZGlkIjoiMzEwNTM5NzYwMDRjMzkwZTVkZjY2ODkwMGIxNGU0OTUiLCJ1c2VySWQiOiIxNTkxNDQ2MDQ0In0=</vt:lpwstr>
  </property>
  <property fmtid="{D5CDD505-2E9C-101B-9397-08002B2CF9AE}" pid="3" name="KSOProductBuildVer">
    <vt:lpwstr>2052-12.1.0.28043</vt:lpwstr>
  </property>
  <property fmtid="{D5CDD505-2E9C-101B-9397-08002B2CF9AE}" pid="4" name="ICV">
    <vt:lpwstr>1F379ABFCA364610BD88802231F3E8C0_12</vt:lpwstr>
  </property>
</Properties>
</file>