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3ABC60">
      <w:pPr>
        <w:spacing w:line="360" w:lineRule="auto"/>
        <w:ind w:firstLine="434" w:firstLineChars="200"/>
        <w:jc w:val="center"/>
        <w:rPr>
          <w:rFonts w:hint="eastAsia" w:ascii="Times New Roman" w:hAnsi="Times New Roman" w:cs="Times New Roman" w:eastAsiaTheme="minorEastAsia"/>
          <w:b/>
          <w:bCs/>
          <w:color w:val="auto"/>
          <w:spacing w:val="-2"/>
          <w:kern w:val="2"/>
          <w:sz w:val="22"/>
          <w:szCs w:val="28"/>
          <w:lang w:val="en-US" w:eastAsia="zh-CN" w:bidi="ar-SA"/>
        </w:rPr>
      </w:pPr>
      <w:bookmarkStart w:id="0" w:name="_GoBack"/>
      <w:bookmarkEnd w:id="0"/>
      <w:r>
        <w:rPr>
          <w:rFonts w:hint="eastAsia" w:ascii="Times New Roman" w:hAnsi="Times New Roman" w:cs="Times New Roman" w:eastAsiaTheme="minorEastAsia"/>
          <w:b/>
          <w:bCs/>
          <w:color w:val="auto"/>
          <w:spacing w:val="-2"/>
          <w:kern w:val="2"/>
          <w:sz w:val="22"/>
          <w:szCs w:val="28"/>
          <w:lang w:val="en-US" w:eastAsia="zh-CN" w:bidi="ar-SA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auto"/>
          <w:spacing w:val="-2"/>
          <w:kern w:val="2"/>
          <w:sz w:val="22"/>
          <w:szCs w:val="28"/>
          <w:lang w:val="en-US" w:eastAsia="zh-CN" w:bidi="ar-SA"/>
        </w:rPr>
        <w:t>2</w:t>
      </w:r>
      <w:r>
        <w:rPr>
          <w:rFonts w:hint="eastAsia" w:ascii="Times New Roman" w:hAnsi="Times New Roman" w:cs="Times New Roman" w:eastAsiaTheme="minorEastAsia"/>
          <w:b/>
          <w:bCs/>
          <w:color w:val="auto"/>
          <w:spacing w:val="-2"/>
          <w:kern w:val="2"/>
          <w:sz w:val="22"/>
          <w:szCs w:val="28"/>
          <w:lang w:val="en-US" w:eastAsia="zh-CN" w:bidi="ar-SA"/>
        </w:rPr>
        <w:t>. Survey-weighted baseline characteristics according to SAO status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6"/>
        <w:gridCol w:w="1708"/>
        <w:gridCol w:w="1952"/>
        <w:gridCol w:w="1866"/>
        <w:gridCol w:w="864"/>
      </w:tblGrid>
      <w:tr w14:paraId="787711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bottom w:val="single" w:color="auto" w:sz="4" w:space="0"/>
              <w:insideH w:val="single" w:sz="4" w:space="0"/>
            </w:tcBorders>
            <w:shd w:val="clear" w:color="auto" w:fill="auto"/>
            <w:vAlign w:val="center"/>
          </w:tcPr>
          <w:p w14:paraId="05B0A971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4"/>
                <w:lang w:val="en-US"/>
              </w:rPr>
              <w:t>Characteristic</w:t>
            </w:r>
          </w:p>
        </w:tc>
        <w:tc>
          <w:tcPr>
            <w:tcW w:w="0" w:type="auto"/>
            <w:tcBorders>
              <w:bottom w:val="single" w:color="auto" w:sz="4" w:space="0"/>
              <w:insideH w:val="single" w:sz="4" w:space="0"/>
            </w:tcBorders>
            <w:shd w:val="clear" w:color="auto" w:fill="auto"/>
            <w:vAlign w:val="center"/>
          </w:tcPr>
          <w:p w14:paraId="6560FF5B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4"/>
                <w:lang w:val="en-US"/>
              </w:rPr>
              <w:t>Category</w:t>
            </w:r>
          </w:p>
        </w:tc>
        <w:tc>
          <w:tcPr>
            <w:tcW w:w="0" w:type="auto"/>
            <w:tcBorders>
              <w:bottom w:val="single" w:color="auto" w:sz="4" w:space="0"/>
              <w:insideH w:val="single" w:sz="4" w:space="0"/>
            </w:tcBorders>
            <w:shd w:val="clear" w:color="auto" w:fill="auto"/>
            <w:vAlign w:val="center"/>
          </w:tcPr>
          <w:p w14:paraId="553145CF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b/>
                <w:bCs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4"/>
                <w:lang w:val="en-US"/>
              </w:rPr>
              <w:t>No SAO (n=11,231)</w:t>
            </w:r>
          </w:p>
        </w:tc>
        <w:tc>
          <w:tcPr>
            <w:tcW w:w="0" w:type="auto"/>
            <w:tcBorders>
              <w:bottom w:val="single" w:color="auto" w:sz="4" w:space="0"/>
              <w:insideH w:val="single" w:sz="4" w:space="0"/>
            </w:tcBorders>
            <w:shd w:val="clear" w:color="auto" w:fill="auto"/>
            <w:vAlign w:val="center"/>
          </w:tcPr>
          <w:p w14:paraId="5E500AC9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b/>
                <w:bCs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4"/>
                <w:lang w:val="en-US"/>
              </w:rPr>
              <w:t>SAO (n=1,446)</w:t>
            </w:r>
          </w:p>
        </w:tc>
        <w:tc>
          <w:tcPr>
            <w:tcW w:w="0" w:type="auto"/>
            <w:tcBorders>
              <w:bottom w:val="single" w:color="auto" w:sz="4" w:space="0"/>
              <w:insideH w:val="single" w:sz="4" w:space="0"/>
            </w:tcBorders>
            <w:shd w:val="clear" w:color="auto" w:fill="auto"/>
            <w:vAlign w:val="center"/>
          </w:tcPr>
          <w:p w14:paraId="3FBAB323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b/>
                <w:bCs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4"/>
                <w:lang w:val="en-US"/>
              </w:rPr>
              <w:t>P value</w:t>
            </w:r>
          </w:p>
        </w:tc>
      </w:tr>
      <w:tr w14:paraId="5A8077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AEE9430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Age, years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B7A3AA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Mean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0EB3BC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44.82 (44.03–45.62)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11FA42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48.63 (47.22–50.05)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BA69FB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&lt;0.001</w:t>
            </w:r>
          </w:p>
        </w:tc>
      </w:tr>
      <w:tr w14:paraId="1B335A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D84E231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BMI, kg/m²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E61C49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Mean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D7F5FC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28.91 (28.67–29.16)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0499BD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28.00 (27.59–28.40)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8AD5A7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&lt;0.001</w:t>
            </w:r>
          </w:p>
        </w:tc>
      </w:tr>
      <w:tr w14:paraId="388141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C1F3EF7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Poverty income ratio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BF49A4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Mean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791675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3.13 (3.03–3.24)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5F6657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2.86 (2.70–3.02)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E5D74C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&lt;0.001</w:t>
            </w:r>
          </w:p>
        </w:tc>
      </w:tr>
      <w:tr w14:paraId="54F06B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1AFED8A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Pack-years of smoking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38AC0F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Mean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2DAEFD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6.07 (5.44–6.70)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9EFD32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18.49 (16.22–20.76)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644679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&lt;0.001</w:t>
            </w:r>
          </w:p>
        </w:tc>
      </w:tr>
      <w:tr w14:paraId="5E3120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65C85AE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FEF25–75 GLI z-score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81276C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Mean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D23173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−0.14 (−0.16–−0.11)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BFF31B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−2.30 (−2.34–−2.26)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DDFC9F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&lt;0.001</w:t>
            </w:r>
          </w:p>
        </w:tc>
      </w:tr>
      <w:tr w14:paraId="59B115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DC7054C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ln(SII)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22F8DE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Mean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B248B3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6.148 (6.129–6.166)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9BABA8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6.252 (6.213–6.290)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152174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&lt;0.001</w:t>
            </w:r>
          </w:p>
        </w:tc>
      </w:tr>
      <w:tr w14:paraId="21D1F9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98B8469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Sex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63B4FD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Male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235010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50.4% (49.3%–51.6%)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C33CEB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48.8% (44.7%–52.9%)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04EBAC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0.488</w:t>
            </w:r>
          </w:p>
        </w:tc>
      </w:tr>
      <w:tr w14:paraId="6C6B5A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F56EF2C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2234CB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Female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500000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49.6% (48.4%–50.7%)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1CD8F2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51.2% (47.1%–55.3%)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BB6054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</w:tr>
      <w:tr w14:paraId="7FADB7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D8EB25D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Race/ethnicity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5D8FCD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Non-Hispanic White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62623F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69.5% (65.3%–73.6%)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5FDC42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80.4% (76.2%–84.7%)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91B3DB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&lt;0.001</w:t>
            </w:r>
          </w:p>
        </w:tc>
      </w:tr>
      <w:tr w14:paraId="029FF5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65C9C52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9E5CFED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Non-Hispanic Black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66A4A5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10.8% (8.7%–12.9%)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C716D8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7.4% (5.6%–9.1%)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C4528F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</w:tr>
      <w:tr w14:paraId="5FE4D9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D9E74AE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eastAsia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2EF1F96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Mexican American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9BAF4F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8.2% (6.1%–10.4%)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A1402C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3.0% (2.0%–4.1%)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277CA0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</w:tr>
      <w:tr w14:paraId="5AB9D3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96B4FAC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eastAsia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4DC58F1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Other Hispanic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4CFF20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5.4% (3.9%–6.8%)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E445D8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3.2% (1.7%–4.6%)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58336E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</w:tr>
      <w:tr w14:paraId="06B2BE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5E5A6D4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eastAsia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63DE6EF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Other/multiple race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D14973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6.2% (5.0%–7.3%)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FB8689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6.0% (3.6%–8.3%)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6513BA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</w:tr>
      <w:tr w14:paraId="1AD002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238BA6C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Education level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5484AC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Above high school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72803E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63.4% (60.5%–66.2%)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AEA87B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53.2% (47.7%–58.7%)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826E59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&lt;0.001</w:t>
            </w:r>
          </w:p>
        </w:tc>
      </w:tr>
      <w:tr w14:paraId="5E4892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90B5492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B82EEC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High school/GED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ECCAF4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21.6% (20.0%–23.2%)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32EDD4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25.3% (21.7%–29.0%)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DA99BB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</w:tr>
      <w:tr w14:paraId="25804C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11E4EC7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eastAsia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2C0F95E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Below high school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2B5327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15.0% (13.3%–16.8%)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21EE5C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21.4% (17.9%–24.9%)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C22E8B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</w:tr>
      <w:tr w14:paraId="75A363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5FE324C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Smoking status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DC7563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Never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902064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59.2% (57.1%–61.2%)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379CD4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29.1% (25.6%–32.6%)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885EA2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&lt;0.001</w:t>
            </w:r>
          </w:p>
        </w:tc>
      </w:tr>
      <w:tr w14:paraId="568311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81D34F6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857F7C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Former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7881C7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21.7% (19.9%–23.4%)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177EF1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26.4% (22.8%–30.1%)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6DC09C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</w:tr>
      <w:tr w14:paraId="3650EE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D40DDAF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eastAsia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C858746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Current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A35647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19.1% (17.8%–20.5%)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31D76E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44.5% (40.2%–48.7%)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22778C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</w:tr>
      <w:tr w14:paraId="25957C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9DAB0FD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Hypertension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C4C9DB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809845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72.5% (70.9%–74.2%)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5E745F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66.5% (62.6%–70.5%)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A32A2C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0.003</w:t>
            </w:r>
          </w:p>
        </w:tc>
      </w:tr>
      <w:tr w14:paraId="35623F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2CE7727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5BE038F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9B7079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27.5% (25.8%–29.1%)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369E9D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33.5% (29.5%–37.4%)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6F998B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</w:tr>
      <w:tr w14:paraId="4671D3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522D2E7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Diabetes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01934C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7CD154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92.5% (91.7%–93.3%)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7773FB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91.6% (89.8%–93.5%)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A956C0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0.332</w:t>
            </w:r>
          </w:p>
        </w:tc>
      </w:tr>
      <w:tr w14:paraId="2B3FC6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7C20D61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A87EE86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D64B92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7.5% (6.7%–8.3%)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1DDF0F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8.4% (6.5%–10.2%)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02ECB6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</w:tr>
      <w:tr w14:paraId="3F0A67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8B5BC67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Physical activity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09A849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Active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89F5CD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58.8% (56.0%–61.7%)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A787EC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46.6% (42.7%–50.5%)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164965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&lt;0.001</w:t>
            </w:r>
          </w:p>
        </w:tc>
      </w:tr>
      <w:tr w14:paraId="426178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D29FD58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EE8E2ED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Inactive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565C49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41.2% (38.3%–44.0%)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1F5394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53.4% (49.5%–57.3%)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D646A9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</w:tr>
      <w:tr w14:paraId="560BA9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0575A7A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Alcohol consumption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36CDB8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&lt;12 drinks/year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7EC5B1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20.1% (18.7%–21.5%)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72D378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16.2% (13.6%–18.8%)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2776F8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0.012</w:t>
            </w:r>
          </w:p>
        </w:tc>
      </w:tr>
      <w:tr w14:paraId="0C9B6B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8700103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E382F8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≥12 drinks/year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242463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79.9% (78.5%–81.3%)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949799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83.8% (81.2%–86.4%)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8893D0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</w:tr>
      <w:tr w14:paraId="68368B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1699F4A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Survey cycle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10AC9B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2007–2008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BA7E29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32.0% (28.6%–35.5%)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86F283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36.3% (29.8%–42.8%)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1282F4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0.106</w:t>
            </w:r>
          </w:p>
        </w:tc>
      </w:tr>
      <w:tr w14:paraId="0DF455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F9C3F09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82B0087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2009–2010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C02717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32.8% (29.4%–36.2%)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A87458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30.9% (25.8%–36.0%)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844FC0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</w:tr>
      <w:tr w14:paraId="1A741E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178B7DE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eastAsia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F32C47F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2011–2012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A917ED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35.2% (31.3%–39.0%)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07A622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  <w:t>32.8% (27.5%–38.2%)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7D2152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18"/>
                <w:szCs w:val="21"/>
                <w:lang w:val="en-US"/>
              </w:rPr>
            </w:pPr>
          </w:p>
        </w:tc>
      </w:tr>
    </w:tbl>
    <w:p w14:paraId="7C54557F">
      <w:pPr>
        <w:pStyle w:val="6"/>
        <w:keepLines/>
        <w:rPr>
          <w:rStyle w:val="5"/>
          <w:rFonts w:ascii="Times New Roman" w:hAnsi="Times New Roman" w:cs="Times New Roman"/>
          <w:b w:val="0"/>
          <w:bCs w:val="0"/>
          <w:color w:val="000000" w:themeColor="text1"/>
          <w:sz w:val="18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Style w:val="5"/>
          <w:rFonts w:ascii="Times New Roman" w:hAnsi="Times New Roman" w:cs="Times New Roman"/>
          <w:b/>
          <w:bCs/>
          <w:color w:val="000000" w:themeColor="text1"/>
          <w:sz w:val="18"/>
          <w:szCs w:val="24"/>
          <w:lang w:val="en-US"/>
          <w14:textFill>
            <w14:solidFill>
              <w14:schemeClr w14:val="tx1"/>
            </w14:solidFill>
          </w14:textFill>
        </w:rPr>
        <w:t xml:space="preserve">Note: </w:t>
      </w:r>
      <w:r>
        <w:rPr>
          <w:rStyle w:val="5"/>
          <w:rFonts w:ascii="Times New Roman" w:hAnsi="Times New Roman" w:cs="Times New Roman"/>
          <w:b w:val="0"/>
          <w:bCs w:val="0"/>
          <w:color w:val="000000" w:themeColor="text1"/>
          <w:sz w:val="18"/>
          <w:szCs w:val="24"/>
          <w:lang w:val="en-US"/>
          <w14:textFill>
            <w14:solidFill>
              <w14:schemeClr w14:val="tx1"/>
            </w14:solidFill>
          </w14:textFill>
        </w:rPr>
        <w:t>Values are presented as survey-weighted means or proportions with 95% confidence intervals (CI). Continuous variables were compared using design-adjusted t tests, and categorical variables were compared using design-adjusted F tests. Overall P values for categorical variables are displayed only in the first category.</w:t>
      </w:r>
    </w:p>
    <w:p w14:paraId="554FAF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SC Thin">
    <w:panose1 w:val="020B0200000000000000"/>
    <w:charset w:val="86"/>
    <w:family w:val="roman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3E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  <w:jc w:val="center"/>
    </w:pPr>
    <w:rPr>
      <w:rFonts w:eastAsia="宋体"/>
    </w:rPr>
    <w:tblPr>
      <w:jc w:val="center"/>
      <w:tblBorders>
        <w:top w:val="single" w:color="auto" w:sz="4" w:space="0"/>
        <w:bottom w:val="single" w:color="auto" w:sz="4" w:space="0"/>
      </w:tblBorders>
    </w:tblPr>
    <w:trPr>
      <w:jc w:val="center"/>
    </w:trPr>
    <w:tcPr>
      <w:shd w:val="clear" w:color="auto" w:fill="auto"/>
      <w:vAlign w:val="center"/>
    </w:tcPr>
    <w:tblStylePr w:type="firstRow">
      <w:rPr>
        <w:rFonts w:eastAsia="宋体"/>
        <w:b/>
        <w:sz w:val="22"/>
      </w:rPr>
      <w:tcPr>
        <w:tcBorders>
          <w:bottom w:val="single" w:color="auto" w:sz="4" w:space="0"/>
        </w:tcBorders>
      </w:tcPr>
    </w:tblStylePr>
  </w:style>
  <w:style w:type="character" w:styleId="5">
    <w:name w:val="Strong"/>
    <w:basedOn w:val="4"/>
    <w:qFormat/>
    <w:uiPriority w:val="22"/>
    <w:rPr>
      <w:b/>
      <w:bCs/>
    </w:rPr>
  </w:style>
  <w:style w:type="paragraph" w:customStyle="1" w:styleId="6">
    <w:name w:val="Table Citation"/>
    <w:qFormat/>
    <w:uiPriority w:val="0"/>
    <w:pPr>
      <w:spacing w:before="80" w:after="80" w:line="276" w:lineRule="auto"/>
    </w:pPr>
    <w:rPr>
      <w:rFonts w:ascii="Calibri" w:hAnsi="Calibri" w:eastAsia="Noto Sans SC Thin" w:cstheme="minorBidi"/>
      <w:color w:val="5B6676"/>
      <w:sz w:val="16"/>
      <w:szCs w:val="22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2026-09-01T15:03:50Z</dcterms:created>
  <dc:creator>WYF</dc:creator>
  <cp:lastModifiedBy>负熵NENTRO</cp:lastModifiedBy>
  <dcterms:modified xsi:type="dcterms:W3CDTF">2026-09-01T15:04:02Z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eyJoZGlkIjoiY2U0NzJkYzY1MTkwMGE1MDVjNWNjZmY1OTBmMDcwMDgiLCJ1c2VySWQiOiIzMTc2NTE5OTAifQ==</vt:lpwstr>
  </property>
  <property fmtid="{D5CDD505-2E9C-101B-9397-08002B2CF9AE}" pid="4" name="ICV">
    <vt:lpwstr>8EEDED54953842C2BC9583E03269BA85_12</vt:lpwstr>
  </property>
</Properties>
</file>