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F14A6">
      <w:pPr>
        <w:pStyle w:val="2"/>
        <w:keepNext/>
        <w:ind w:firstLine="387"/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  <w:t>Table</w:t>
      </w:r>
      <w:r>
        <w:rPr>
          <w:rFonts w:hint="eastAsia" w:ascii="Times New Roman" w:hAnsi="Times New Roman" w:cs="Times New Roman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  <w:t xml:space="preserve"> 3</w:t>
      </w: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  <w:t>. Survey-weighted cause-specific Cox models for the association between SAO and cardiovascular mortality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4998"/>
        <w:gridCol w:w="584"/>
        <w:gridCol w:w="1056"/>
        <w:gridCol w:w="823"/>
      </w:tblGrid>
      <w:tr w14:paraId="7CF9BB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78F45BDD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Model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51752DA3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Adjusted variables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1764A5E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HR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0B3D40A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95% CI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47E6D15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4"/>
                <w:lang w:val="en-US"/>
              </w:rPr>
              <w:t>P value</w:t>
            </w:r>
          </w:p>
        </w:tc>
      </w:tr>
      <w:tr w14:paraId="55FBEF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13A23AE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Model 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BACCBE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Unadjusted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4D758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2.90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2BA7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2.13–3.93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D791A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&lt;0.001</w:t>
            </w:r>
          </w:p>
        </w:tc>
      </w:tr>
      <w:tr w14:paraId="5169C4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3D319BF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Model 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9264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Age, age²/100, sex, race/ethnicity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7E399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2.33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7396B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1.67–3.24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68D96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&lt;0.001</w:t>
            </w:r>
          </w:p>
        </w:tc>
      </w:tr>
      <w:tr w14:paraId="14DD7B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61B37C0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Model 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A03E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Model 2 + education, poverty income ratio (PIR), BMI, smoking, ln(1+pack-years), hypertension, diabetes, physical activity, alcohol consumption, survey cycle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650D0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1.89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B1003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1.26–2.83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2D6F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0.002</w:t>
            </w:r>
          </w:p>
        </w:tc>
      </w:tr>
    </w:tbl>
    <w:p w14:paraId="3EE82879">
      <w:pPr>
        <w:pStyle w:val="6"/>
        <w:keepLines/>
        <w:rPr>
          <w:rFonts w:hint="default" w:ascii="Times New Roman" w:hAnsi="Times New Roman" w:cs="Times New Roman" w:eastAsiaTheme="minorEastAsia"/>
          <w:b w:val="0"/>
          <w:bCs w:val="0"/>
          <w:color w:val="auto"/>
          <w:spacing w:val="-2"/>
          <w:kern w:val="2"/>
          <w:sz w:val="18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  <w:t xml:space="preserve">Note: 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pacing w:val="-2"/>
          <w:kern w:val="2"/>
          <w:sz w:val="18"/>
          <w:szCs w:val="21"/>
          <w:lang w:val="en-US" w:eastAsia="zh-CN" w:bidi="ar-SA"/>
        </w:rPr>
        <w:t>n=10,545, with 232 cardiovascular deaths. Deaths from other causes were treated as censoring events. HRs represent cause-specific hazard ratios for SAO versus no SAO.</w:t>
      </w:r>
    </w:p>
    <w:p w14:paraId="426FE6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 Thin">
    <w:panose1 w:val="020B0200000000000000"/>
    <w:charset w:val="86"/>
    <w:family w:val="roman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A5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line="240" w:lineRule="auto"/>
      <w:jc w:val="center"/>
    </w:pPr>
    <w:rPr>
      <w:rFonts w:ascii="Calibri" w:hAnsi="Calibri"/>
      <w:b/>
      <w:bCs/>
      <w:color w:val="0B2545"/>
      <w:sz w:val="19"/>
      <w:szCs w:val="18"/>
    </w:rPr>
  </w:style>
  <w:style w:type="table" w:styleId="4">
    <w:name w:val="Table Grid"/>
    <w:basedOn w:val="3"/>
    <w:qFormat/>
    <w:uiPriority w:val="59"/>
    <w:pPr>
      <w:spacing w:after="0" w:line="240" w:lineRule="auto"/>
      <w:jc w:val="center"/>
    </w:pPr>
    <w:rPr>
      <w:rFonts w:eastAsia="宋体"/>
    </w:rPr>
    <w:tblPr>
      <w:jc w:val="center"/>
      <w:tblBorders>
        <w:top w:val="single" w:color="auto" w:sz="4" w:space="0"/>
        <w:bottom w:val="single" w:color="auto" w:sz="4" w:space="0"/>
      </w:tblBorders>
    </w:tblPr>
    <w:trPr>
      <w:jc w:val="center"/>
    </w:trPr>
    <w:tcPr>
      <w:shd w:val="clear" w:color="auto" w:fill="auto"/>
      <w:vAlign w:val="center"/>
    </w:tcPr>
    <w:tblStylePr w:type="firstRow">
      <w:rPr>
        <w:rFonts w:eastAsia="宋体"/>
        <w:b/>
        <w:sz w:val="22"/>
      </w:rPr>
      <w:tcPr>
        <w:tcBorders>
          <w:bottom w:val="single" w:color="auto" w:sz="4" w:space="0"/>
        </w:tcBorders>
      </w:tcPr>
    </w:tblStylePr>
  </w:style>
  <w:style w:type="paragraph" w:customStyle="1" w:styleId="6">
    <w:name w:val="Table Citation"/>
    <w:qFormat/>
    <w:uiPriority w:val="0"/>
    <w:pPr>
      <w:spacing w:before="80" w:after="80" w:line="276" w:lineRule="auto"/>
    </w:pPr>
    <w:rPr>
      <w:rFonts w:ascii="Calibri" w:hAnsi="Calibri" w:eastAsia="Noto Sans SC Thin" w:cstheme="minorBidi"/>
      <w:color w:val="5B6676"/>
      <w:sz w:val="16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2026-09-01T16:36:04Z</dcterms:created>
  <dc:creator>WYF</dc:creator>
  <cp:lastModifiedBy>负熵NENTRO</cp:lastModifiedBy>
  <dcterms:modified xsi:type="dcterms:W3CDTF">2026-09-01T16:36:07Z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eyJoZGlkIjoiY2U0NzJkYzY1MTkwMGE1MDVjNWNjZmY1OTBmMDcwMDgiLCJ1c2VySWQiOiIzMTc2NTE5OTAifQ==</vt:lpwstr>
  </property>
  <property fmtid="{D5CDD505-2E9C-101B-9397-08002B2CF9AE}" pid="4" name="ICV">
    <vt:lpwstr>94777B8D06BD4463A90DF8D5A7AEF2F7_12</vt:lpwstr>
  </property>
</Properties>
</file>