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FC109">
      <w:pPr>
        <w:pStyle w:val="2"/>
        <w:keepNext/>
        <w:ind w:firstLine="387"/>
        <w:rPr>
          <w:rFonts w:hint="default" w:ascii="Times New Roman" w:hAnsi="Times New Roman" w:cs="Times New Roman" w:eastAsiaTheme="minorEastAsia"/>
          <w:b/>
          <w:bCs/>
          <w:color w:val="auto"/>
          <w:spacing w:val="-2"/>
          <w:kern w:val="2"/>
          <w:sz w:val="21"/>
          <w:szCs w:val="24"/>
          <w:lang w:val="en-US" w:eastAsia="zh-CN" w:bidi="ar-SA"/>
        </w:rPr>
      </w:pPr>
      <w:bookmarkStart w:id="0" w:name="_GoBack"/>
      <w:r>
        <w:rPr>
          <w:rFonts w:hint="eastAsia" w:ascii="Times New Roman" w:hAnsi="Times New Roman" w:cs="Times New Roman"/>
          <w:b/>
          <w:bCs/>
          <w:color w:val="auto"/>
          <w:spacing w:val="-2"/>
          <w:kern w:val="2"/>
          <w:sz w:val="21"/>
          <w:szCs w:val="24"/>
          <w:lang w:val="en-US" w:eastAsia="zh-CN" w:bidi="ar-SA"/>
        </w:rPr>
        <w:t>T</w:t>
      </w:r>
      <w:r>
        <w:rPr>
          <w:rFonts w:hint="default" w:ascii="Times New Roman" w:hAnsi="Times New Roman" w:cs="Times New Roman" w:eastAsiaTheme="minorEastAsia"/>
          <w:b/>
          <w:bCs/>
          <w:color w:val="auto"/>
          <w:spacing w:val="-2"/>
          <w:kern w:val="2"/>
          <w:sz w:val="21"/>
          <w:szCs w:val="24"/>
          <w:lang w:val="en-US" w:eastAsia="zh-CN" w:bidi="ar-SA"/>
        </w:rPr>
        <w:t xml:space="preserve">able </w:t>
      </w:r>
      <w:r>
        <w:rPr>
          <w:rFonts w:hint="eastAsia" w:ascii="Times New Roman" w:hAnsi="Times New Roman" w:cs="Times New Roman"/>
          <w:b/>
          <w:bCs/>
          <w:color w:val="auto"/>
          <w:spacing w:val="-2"/>
          <w:kern w:val="2"/>
          <w:sz w:val="21"/>
          <w:szCs w:val="24"/>
          <w:lang w:val="en-US" w:eastAsia="zh-CN" w:bidi="ar-SA"/>
        </w:rPr>
        <w:t>4</w:t>
      </w:r>
      <w:r>
        <w:rPr>
          <w:rFonts w:hint="default" w:ascii="Times New Roman" w:hAnsi="Times New Roman" w:cs="Times New Roman" w:eastAsiaTheme="minorEastAsia"/>
          <w:b/>
          <w:bCs/>
          <w:color w:val="auto"/>
          <w:spacing w:val="-2"/>
          <w:kern w:val="2"/>
          <w:sz w:val="21"/>
          <w:szCs w:val="24"/>
          <w:lang w:val="en-US" w:eastAsia="zh-CN" w:bidi="ar-SA"/>
        </w:rPr>
        <w:t>.</w:t>
      </w:r>
      <w:r>
        <w:rPr>
          <w:rFonts w:hint="eastAsia" w:ascii="Times New Roman" w:hAnsi="Times New Roman" w:cs="Times New Roman"/>
          <w:b/>
          <w:bCs/>
          <w:color w:val="auto"/>
          <w:spacing w:val="-2"/>
          <w:kern w:val="2"/>
          <w:sz w:val="21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color w:val="auto"/>
          <w:spacing w:val="-2"/>
          <w:kern w:val="2"/>
          <w:sz w:val="21"/>
          <w:szCs w:val="24"/>
          <w:lang w:val="en-US" w:eastAsia="zh-CN" w:bidi="ar-SA"/>
        </w:rPr>
        <w:t>Piecewise Cox models and sensitivity analyses for the association between SAO and cardiovascular mortality</w:t>
      </w:r>
    </w:p>
    <w:bookmarkEnd w:id="0"/>
    <w:tbl>
      <w:tblPr>
        <w:tblStyle w:val="4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7"/>
        <w:gridCol w:w="870"/>
        <w:gridCol w:w="1025"/>
        <w:gridCol w:w="1871"/>
        <w:gridCol w:w="888"/>
      </w:tblGrid>
      <w:tr w14:paraId="54A25B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7" w:type="dxa"/>
            <w:tcBorders>
              <w:bottom w:val="single" w:color="auto" w:sz="4" w:space="0"/>
              <w:insideH w:val="single" w:sz="4" w:space="0"/>
            </w:tcBorders>
            <w:shd w:val="clear" w:color="auto" w:fill="auto"/>
            <w:vAlign w:val="center"/>
          </w:tcPr>
          <w:p w14:paraId="44AD42F5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2"/>
                <w:lang w:val="en-US"/>
              </w:rPr>
              <w:t>Analysis</w:t>
            </w:r>
          </w:p>
        </w:tc>
        <w:tc>
          <w:tcPr>
            <w:tcW w:w="870" w:type="dxa"/>
            <w:tcBorders>
              <w:bottom w:val="single" w:color="auto" w:sz="4" w:space="0"/>
              <w:insideH w:val="single" w:sz="4" w:space="0"/>
            </w:tcBorders>
            <w:shd w:val="clear" w:color="auto" w:fill="auto"/>
            <w:vAlign w:val="center"/>
          </w:tcPr>
          <w:p w14:paraId="45EE8107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2"/>
                <w:lang w:val="en-US"/>
              </w:rPr>
              <w:t>n</w:t>
            </w:r>
          </w:p>
        </w:tc>
        <w:tc>
          <w:tcPr>
            <w:tcW w:w="1025" w:type="dxa"/>
            <w:tcBorders>
              <w:bottom w:val="single" w:color="auto" w:sz="4" w:space="0"/>
              <w:insideH w:val="single" w:sz="4" w:space="0"/>
            </w:tcBorders>
            <w:shd w:val="clear" w:color="auto" w:fill="auto"/>
            <w:vAlign w:val="center"/>
          </w:tcPr>
          <w:p w14:paraId="69D8C314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sz w:val="20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2"/>
                <w:lang w:val="en-US"/>
              </w:rPr>
              <w:t>Events</w:t>
            </w:r>
          </w:p>
        </w:tc>
        <w:tc>
          <w:tcPr>
            <w:tcW w:w="1871" w:type="dxa"/>
            <w:tcBorders>
              <w:bottom w:val="single" w:color="auto" w:sz="4" w:space="0"/>
              <w:insideH w:val="single" w:sz="4" w:space="0"/>
            </w:tcBorders>
            <w:shd w:val="clear" w:color="auto" w:fill="auto"/>
            <w:vAlign w:val="center"/>
          </w:tcPr>
          <w:p w14:paraId="3BC0D8CB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b/>
                <w:bCs/>
                <w:sz w:val="20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2"/>
                <w:lang w:val="en-US"/>
              </w:rPr>
              <w:t>HR (95% CI)</w:t>
            </w:r>
          </w:p>
        </w:tc>
        <w:tc>
          <w:tcPr>
            <w:tcW w:w="888" w:type="dxa"/>
            <w:tcBorders>
              <w:bottom w:val="single" w:color="auto" w:sz="4" w:space="0"/>
              <w:insideH w:val="single" w:sz="4" w:space="0"/>
            </w:tcBorders>
            <w:shd w:val="clear" w:color="auto" w:fill="auto"/>
            <w:vAlign w:val="center"/>
          </w:tcPr>
          <w:p w14:paraId="7049A741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b/>
                <w:bCs/>
                <w:sz w:val="20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2"/>
                <w:lang w:val="en-US"/>
              </w:rPr>
              <w:t>P value</w:t>
            </w:r>
          </w:p>
        </w:tc>
      </w:tr>
      <w:tr w14:paraId="423EB9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7" w:type="dxa"/>
            <w:shd w:val="clear" w:color="auto" w:fill="auto"/>
            <w:vAlign w:val="center"/>
          </w:tcPr>
          <w:p w14:paraId="73A4E23A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Main complete-case model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1787C31C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10,545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4E54BC33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232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3C4BEC1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1.89 (1.26–2.83)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4DD6BDDE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0.002</w:t>
            </w:r>
          </w:p>
        </w:tc>
      </w:tr>
      <w:tr w14:paraId="73FC36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7" w:type="dxa"/>
            <w:shd w:val="clear" w:color="auto" w:fill="auto"/>
            <w:vAlign w:val="center"/>
          </w:tcPr>
          <w:p w14:paraId="7B641001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2-year piecewise Cox: 0–2 years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48C6F13F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10,545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1321D388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23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3BCD37D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2.86 (0.95–8.63)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4E0A1609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0.062</w:t>
            </w:r>
          </w:p>
        </w:tc>
      </w:tr>
      <w:tr w14:paraId="46C537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7" w:type="dxa"/>
            <w:shd w:val="clear" w:color="auto" w:fill="auto"/>
            <w:vAlign w:val="center"/>
          </w:tcPr>
          <w:p w14:paraId="2DD226E3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2-year piecewise Cox: &gt;2 years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722AA183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10,455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688310A1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209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721DBDD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1.81 (1.22–2.69)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38FC6BED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0.003</w:t>
            </w:r>
          </w:p>
        </w:tc>
      </w:tr>
      <w:tr w14:paraId="351FEF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7" w:type="dxa"/>
            <w:shd w:val="clear" w:color="auto" w:fill="auto"/>
            <w:vAlign w:val="center"/>
          </w:tcPr>
          <w:p w14:paraId="16E51EB1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Only A/B grade spirometry quality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6ED7259E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9,538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4ECB1CE0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190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611FAE97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1.57 (1.06–2.32)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1779C24E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0.025</w:t>
            </w:r>
          </w:p>
        </w:tc>
      </w:tr>
      <w:tr w14:paraId="16D936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7" w:type="dxa"/>
            <w:shd w:val="clear" w:color="auto" w:fill="auto"/>
            <w:vAlign w:val="center"/>
          </w:tcPr>
          <w:p w14:paraId="2544E6F0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2-year landmark analysis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5F5C5EBA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10,455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75AAE1BB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209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7A2ACCF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1.80 (1.20–2.68)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76CC4DFF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0.004</w:t>
            </w:r>
          </w:p>
        </w:tc>
      </w:tr>
      <w:tr w14:paraId="432432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7" w:type="dxa"/>
            <w:shd w:val="clear" w:color="auto" w:fill="auto"/>
            <w:vAlign w:val="center"/>
          </w:tcPr>
          <w:p w14:paraId="261870C0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Excluding baseline cardiovascular disease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12AA4F84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9,787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2AB945A9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161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0B21B8B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1.86 (1.08–3.22)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6BD77158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0.026</w:t>
            </w:r>
          </w:p>
        </w:tc>
      </w:tr>
      <w:tr w14:paraId="397EEB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7" w:type="dxa"/>
            <w:shd w:val="clear" w:color="auto" w:fill="auto"/>
            <w:vAlign w:val="center"/>
          </w:tcPr>
          <w:p w14:paraId="5EB644E4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Isolated SAO among participants without traditional obstruction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117DBDD7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9,459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1FE8A0DF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187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A705498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2.66 (1.56–4.54)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026A0CEF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&lt;0.001</w:t>
            </w:r>
          </w:p>
        </w:tc>
      </w:tr>
      <w:tr w14:paraId="45BF9D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7" w:type="dxa"/>
            <w:shd w:val="clear" w:color="auto" w:fill="auto"/>
            <w:vAlign w:val="center"/>
          </w:tcPr>
          <w:p w14:paraId="552787DC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Alternative definition: FEF25–75 &lt;65% predicted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6893E29A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10,545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0C692C6E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232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9DA1C74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1.66 (1.20–2.28)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7F825339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0.002</w:t>
            </w:r>
          </w:p>
        </w:tc>
      </w:tr>
      <w:tr w14:paraId="4EA951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7" w:type="dxa"/>
            <w:shd w:val="clear" w:color="auto" w:fill="auto"/>
            <w:vAlign w:val="center"/>
          </w:tcPr>
          <w:p w14:paraId="6310EC4F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Continuous exposure: per 1-unit worsening of FEF25–75 z-score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1B467336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10,545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78BE904B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232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41B2777F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1.27 (1.06–1.53)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769F0C57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0.010</w:t>
            </w:r>
          </w:p>
        </w:tc>
      </w:tr>
      <w:tr w14:paraId="1E56BF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7" w:type="dxa"/>
            <w:shd w:val="clear" w:color="auto" w:fill="auto"/>
            <w:vAlign w:val="center"/>
          </w:tcPr>
          <w:p w14:paraId="509D0B6F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Additional adjustment for baseline cardiovascular and respiratory diseases</w:t>
            </w:r>
          </w:p>
        </w:tc>
        <w:tc>
          <w:tcPr>
            <w:tcW w:w="870" w:type="dxa"/>
            <w:shd w:val="clear" w:color="auto" w:fill="auto"/>
            <w:vAlign w:val="center"/>
          </w:tcPr>
          <w:p w14:paraId="33CC8F78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10,545</w:t>
            </w:r>
          </w:p>
        </w:tc>
        <w:tc>
          <w:tcPr>
            <w:tcW w:w="1025" w:type="dxa"/>
            <w:shd w:val="clear" w:color="auto" w:fill="auto"/>
            <w:vAlign w:val="center"/>
          </w:tcPr>
          <w:p w14:paraId="49A8C8E2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232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6B2F5B38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1.74 (1.14–2.66)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12CB5A60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1"/>
                <w:szCs w:val="24"/>
                <w:lang w:val="en-US"/>
              </w:rPr>
              <w:t>0.010</w:t>
            </w:r>
          </w:p>
        </w:tc>
      </w:tr>
    </w:tbl>
    <w:p w14:paraId="2ED70FBA">
      <w:pPr>
        <w:pStyle w:val="7"/>
        <w:keepLines/>
        <w:rPr>
          <w:rFonts w:hint="default" w:ascii="Times New Roman" w:hAnsi="Times New Roman" w:cs="Times New Roman"/>
          <w:b/>
          <w:bCs/>
          <w:spacing w:val="-2"/>
          <w:sz w:val="24"/>
          <w:szCs w:val="32"/>
          <w:lang w:val="en-US" w:eastAsia="zh-CN"/>
        </w:rPr>
      </w:pPr>
      <w:r>
        <w:rPr>
          <w:rStyle w:val="6"/>
          <w:rFonts w:ascii="Times New Roman" w:hAnsi="Times New Roman"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  <w:t xml:space="preserve">Note: </w:t>
      </w:r>
      <w:r>
        <w:rPr>
          <w:rStyle w:val="6"/>
          <w:rFonts w:ascii="Times New Roman" w:hAnsi="Times New Roman" w:cs="Times New Roman"/>
          <w:b w:val="0"/>
          <w:bCs w:val="0"/>
          <w:color w:val="000000" w:themeColor="text1"/>
          <w:lang w:val="en-US"/>
          <w14:textFill>
            <w14:solidFill>
              <w14:schemeClr w14:val="tx1"/>
            </w14:solidFill>
          </w14:textFill>
        </w:rPr>
        <w:t xml:space="preserve">For the piecewise Cox models, </w:t>
      </w:r>
      <w:r>
        <w:rPr>
          <w:rStyle w:val="6"/>
          <w:rFonts w:ascii="Times New Roman" w:hAnsi="Times New Roman" w:cs="Times New Roman"/>
          <w:b w:val="0"/>
          <w:bCs w:val="0"/>
          <w:i/>
          <w:iCs/>
          <w:color w:val="000000" w:themeColor="text1"/>
          <w:lang w:val="en-US"/>
          <w14:textFill>
            <w14:solidFill>
              <w14:schemeClr w14:val="tx1"/>
            </w14:solidFill>
          </w14:textFill>
        </w:rPr>
        <w:t>n</w:t>
      </w:r>
      <w:r>
        <w:rPr>
          <w:rStyle w:val="6"/>
          <w:rFonts w:ascii="Times New Roman" w:hAnsi="Times New Roman" w:cs="Times New Roman"/>
          <w:b w:val="0"/>
          <w:bCs w:val="0"/>
          <w:color w:val="000000" w:themeColor="text1"/>
          <w:lang w:val="en-US"/>
          <w14:textFill>
            <w14:solidFill>
              <w14:schemeClr w14:val="tx1"/>
            </w14:solidFill>
          </w14:textFill>
        </w:rPr>
        <w:t xml:space="preserve"> and event numbers represent the unweighted number of participants at risk at the beginning of each interval and the number of cardiovascular deaths occurring during that interval, respectively. The interaction P value for the difference in SAO effects between the two follow-up periods was 0.391. The 2-year landmark analysis was restricted to participants who remained under observation and free of cardiovascular death at 2 years. Except for the continuous exposure analysis, HRs represent cause-specific hazard ratios comparing each SAO definition with the reference group. For the continuous exposure analysis, HRs represent the hazard ratio per 1-unit worsening of the FEF25–75 z-score.</w:t>
      </w:r>
    </w:p>
    <w:p w14:paraId="1326390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SC Thin">
    <w:panose1 w:val="020B0200000000000000"/>
    <w:charset w:val="86"/>
    <w:family w:val="roman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AC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pPr>
      <w:spacing w:line="240" w:lineRule="auto"/>
      <w:jc w:val="center"/>
    </w:pPr>
    <w:rPr>
      <w:rFonts w:ascii="Calibri" w:hAnsi="Calibri"/>
      <w:b/>
      <w:bCs/>
      <w:color w:val="0B2545"/>
      <w:sz w:val="19"/>
      <w:szCs w:val="18"/>
    </w:rPr>
  </w:style>
  <w:style w:type="table" w:styleId="4">
    <w:name w:val="Table Grid"/>
    <w:basedOn w:val="3"/>
    <w:qFormat/>
    <w:uiPriority w:val="59"/>
    <w:pPr>
      <w:spacing w:after="0" w:line="240" w:lineRule="auto"/>
      <w:jc w:val="center"/>
    </w:pPr>
    <w:rPr>
      <w:rFonts w:eastAsia="宋体"/>
    </w:rPr>
    <w:tblPr>
      <w:jc w:val="center"/>
      <w:tblBorders>
        <w:top w:val="single" w:color="auto" w:sz="4" w:space="0"/>
        <w:bottom w:val="single" w:color="auto" w:sz="4" w:space="0"/>
      </w:tblBorders>
    </w:tblPr>
    <w:trPr>
      <w:jc w:val="center"/>
    </w:trPr>
    <w:tcPr>
      <w:shd w:val="clear" w:color="auto" w:fill="auto"/>
      <w:vAlign w:val="center"/>
    </w:tcPr>
    <w:tblStylePr w:type="firstRow">
      <w:rPr>
        <w:rFonts w:eastAsia="宋体"/>
        <w:b/>
        <w:sz w:val="22"/>
      </w:rPr>
      <w:tcPr>
        <w:tcBorders>
          <w:bottom w:val="single" w:color="auto" w:sz="4" w:space="0"/>
        </w:tcBorders>
      </w:tcPr>
    </w:tblStylePr>
  </w:style>
  <w:style w:type="character" w:styleId="6">
    <w:name w:val="Strong"/>
    <w:basedOn w:val="5"/>
    <w:qFormat/>
    <w:uiPriority w:val="22"/>
    <w:rPr>
      <w:b/>
      <w:bCs/>
    </w:rPr>
  </w:style>
  <w:style w:type="paragraph" w:customStyle="1" w:styleId="7">
    <w:name w:val="Table Citation"/>
    <w:qFormat/>
    <w:uiPriority w:val="0"/>
    <w:pPr>
      <w:spacing w:before="80" w:after="80" w:line="276" w:lineRule="auto"/>
    </w:pPr>
    <w:rPr>
      <w:rFonts w:ascii="Calibri" w:hAnsi="Calibri" w:eastAsia="Noto Sans SC Thin" w:cstheme="minorBidi"/>
      <w:color w:val="5B6676"/>
      <w:sz w:val="16"/>
      <w:szCs w:val="22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2026-09-01T16:37:33Z</dcterms:created>
  <dc:creator>WYF</dc:creator>
  <cp:lastModifiedBy>负熵NENTRO</cp:lastModifiedBy>
  <dcterms:modified xsi:type="dcterms:W3CDTF">2026-09-01T16:37:40Z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eyJoZGlkIjoiY2U0NzJkYzY1MTkwMGE1MDVjNWNjZmY1OTBmMDcwMDgiLCJ1c2VySWQiOiIzMTc2NTE5OTAifQ==</vt:lpwstr>
  </property>
  <property fmtid="{D5CDD505-2E9C-101B-9397-08002B2CF9AE}" pid="4" name="ICV">
    <vt:lpwstr>32DF197CB0604559B407D3CE82FAE0CF_12</vt:lpwstr>
  </property>
</Properties>
</file>