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B5A" w:rsidRDefault="00E00B5A" w:rsidP="00E00B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 xml:space="preserve"> Relationship between </w:t>
      </w:r>
      <w:r>
        <w:rPr>
          <w:rFonts w:ascii="Times New Roman" w:hAnsi="Times New Roman" w:cs="Times New Roman"/>
          <w:i/>
          <w:iCs/>
          <w:sz w:val="24"/>
          <w:szCs w:val="24"/>
        </w:rPr>
        <w:t>ARID1A</w:t>
      </w:r>
      <w:r>
        <w:rPr>
          <w:rFonts w:ascii="Times New Roman" w:hAnsi="Times New Roman" w:cs="Times New Roman"/>
          <w:sz w:val="24"/>
          <w:szCs w:val="24"/>
        </w:rPr>
        <w:t xml:space="preserve"> expression pattern and systemic inflammatory markers in patients with GC.</w:t>
      </w:r>
    </w:p>
    <w:tbl>
      <w:tblPr>
        <w:tblStyle w:val="3"/>
        <w:tblW w:w="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556"/>
        <w:gridCol w:w="2371"/>
        <w:gridCol w:w="1640"/>
        <w:gridCol w:w="1763"/>
        <w:gridCol w:w="1423"/>
        <w:gridCol w:w="1000"/>
        <w:gridCol w:w="286"/>
        <w:gridCol w:w="1276"/>
        <w:gridCol w:w="1276"/>
        <w:gridCol w:w="995"/>
      </w:tblGrid>
      <w:tr w:rsidR="00E00B5A" w:rsidTr="00E00B5A">
        <w:trPr>
          <w:trHeight w:val="357"/>
          <w:jc w:val="center"/>
        </w:trPr>
        <w:tc>
          <w:tcPr>
            <w:tcW w:w="1556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SimSun" w:eastAsia="SimSun" w:hAnsi="SimSun" w:cs="Times New Roman"/>
                <w:b/>
                <w:bCs/>
              </w:rPr>
            </w:pPr>
            <w:bookmarkStart w:id="0" w:name="_Hlk66197177"/>
            <w:r>
              <w:rPr>
                <w:rFonts w:ascii="Times New Roman" w:hAnsi="Times New Roman" w:cs="Times New Roman"/>
                <w:b/>
                <w:bCs/>
              </w:rPr>
              <w:t>Inflammatory markers</w:t>
            </w:r>
          </w:p>
        </w:tc>
        <w:tc>
          <w:tcPr>
            <w:tcW w:w="2371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rPr>
                <w:rFonts w:ascii="SimSun" w:eastAsia="SimSun" w:hAnsi="SimSun" w:cs="Times New Roman" w:hint="eastAsia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Median (range)</w:t>
            </w:r>
          </w:p>
        </w:tc>
        <w:tc>
          <w:tcPr>
            <w:tcW w:w="1640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rPr>
                <w:rFonts w:ascii="Times New Roman" w:eastAsia="SimSun" w:hAnsi="Times New Roman" w:cs="Times New Roman" w:hint="eastAsia"/>
                <w:b/>
                <w:bCs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bCs/>
              </w:rPr>
              <w:t>Categorization</w:t>
            </w:r>
            <w:r>
              <w:rPr>
                <w:rFonts w:ascii="Times New Roman" w:eastAsia="SimSun" w:hAnsi="Times New Roman" w:cs="Times New Roman"/>
                <w:b/>
                <w:bCs/>
                <w:vertAlign w:val="superscript"/>
              </w:rPr>
              <w:t>a</w:t>
            </w:r>
            <w:proofErr w:type="spellEnd"/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ARID1A protein</w:t>
            </w:r>
          </w:p>
        </w:tc>
        <w:tc>
          <w:tcPr>
            <w:tcW w:w="28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547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ARID1A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mRNA</w:t>
            </w:r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rPr>
                <w:rFonts w:ascii="SimSun" w:eastAsia="SimSun" w:hAnsi="SimSun" w:cs="Times New Roman"/>
                <w:b/>
                <w:bCs/>
              </w:rPr>
            </w:pPr>
          </w:p>
        </w:tc>
        <w:tc>
          <w:tcPr>
            <w:tcW w:w="2371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rPr>
                <w:rFonts w:ascii="SimSun" w:eastAsia="SimSun" w:hAnsi="SimSun" w:cs="Times New Roman"/>
                <w:b/>
                <w:bCs/>
              </w:rPr>
            </w:pPr>
          </w:p>
        </w:tc>
        <w:tc>
          <w:tcPr>
            <w:tcW w:w="1640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rPr>
                <w:rFonts w:ascii="Times New Roman" w:eastAsia="SimSun" w:hAnsi="Times New Roman" w:cs="Times New Roman"/>
                <w:b/>
                <w:bCs/>
              </w:rPr>
            </w:pPr>
          </w:p>
        </w:tc>
        <w:tc>
          <w:tcPr>
            <w:tcW w:w="17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Negative</w:t>
            </w:r>
          </w:p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(n=58)</w:t>
            </w:r>
          </w:p>
        </w:tc>
        <w:tc>
          <w:tcPr>
            <w:tcW w:w="14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Positive</w:t>
            </w:r>
          </w:p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(n=214)</w:t>
            </w:r>
          </w:p>
        </w:tc>
        <w:tc>
          <w:tcPr>
            <w:tcW w:w="10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b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Low</w:t>
            </w:r>
          </w:p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(n=47)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2"/>
              </w:rPr>
              <w:t>high</w:t>
            </w:r>
          </w:p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1"/>
              </w:rPr>
              <w:t>(n=189)</w:t>
            </w:r>
          </w:p>
        </w:tc>
        <w:tc>
          <w:tcPr>
            <w:tcW w:w="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vertAlign w:val="superscript"/>
              </w:rPr>
              <w:t>b</w:t>
            </w:r>
            <w:proofErr w:type="spellEnd"/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NLR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 (0.59-17.17)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 (24.4%)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 (75.6%)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0.228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(23.5%)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 (76.5%)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0.181</w:t>
            </w:r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(18.4%)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 (81.6%)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(16.5%)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 (83.5%)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LMR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 (0.67-21.00)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(17.3%)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 (82.7%)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0.112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(18.0%)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 (82.0%)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0.492</w:t>
            </w:r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(25.2%)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 (74.8%)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(21.6%)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 (78.4%)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PLR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132.35 (32.63-426.11)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 (26.5%)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(73.5%)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0.038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(24.4%)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 (75.6%)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0.073</w:t>
            </w:r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 (16.2%)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 (83.8%)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(15.0%)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 (85.0%)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CRP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3.3mg/L (0.8-129.3)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 (25.4%)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(74.6%)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0.108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(20.4%)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 (79.6%)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0.890</w:t>
            </w:r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(17.4%)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 (82.6%)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(21.1%)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 (78.9%)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LDH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173.5U/L (105-2170)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(25.5%)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 (74.5%)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0.087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(16.8%)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 (83.2%)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0.228</w:t>
            </w:r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(17.0%)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 (83.0%)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 (23.1%)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 (76.9%)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</w:rPr>
              <w:t>albumin</w:t>
            </w:r>
          </w:p>
        </w:tc>
        <w:tc>
          <w:tcPr>
            <w:tcW w:w="2371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38.6g/L (23.7-45.7)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(14.7%)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 (85.3%)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0.008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(22.0%)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 (78.0%)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0.415</w:t>
            </w:r>
          </w:p>
        </w:tc>
      </w:tr>
      <w:tr w:rsidR="00E00B5A" w:rsidTr="00E00B5A">
        <w:trPr>
          <w:trHeight w:val="357"/>
          <w:jc w:val="center"/>
        </w:trPr>
        <w:tc>
          <w:tcPr>
            <w:tcW w:w="15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 (27.9%)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 (72.1%)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0B5A" w:rsidRDefault="00E00B5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(17.8%)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 (82.2%)</w:t>
            </w:r>
          </w:p>
        </w:tc>
        <w:tc>
          <w:tcPr>
            <w:tcW w:w="99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00B5A" w:rsidRDefault="00E00B5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bookmarkEnd w:id="0"/>
    <w:p w:rsidR="00E00B5A" w:rsidRDefault="00E00B5A" w:rsidP="00E00B5A">
      <w:pPr>
        <w:spacing w:line="480" w:lineRule="auto"/>
        <w:rPr>
          <w:rFonts w:ascii="Times New Roman" w:hAnsi="Times New Roman" w:cs="Times New Roman"/>
          <w:kern w:val="2"/>
          <w:sz w:val="24"/>
          <w:szCs w:val="24"/>
          <w:lang w:eastAsia="zh-CN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NLR </w:t>
      </w:r>
      <w:r>
        <w:rPr>
          <w:rFonts w:ascii="Times New Roman" w:hAnsi="Times New Roman" w:cs="Times New Roman"/>
          <w:sz w:val="24"/>
          <w:szCs w:val="24"/>
        </w:rPr>
        <w:t xml:space="preserve">neutrophil/lymphocyte ratio,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PLR </w:t>
      </w:r>
      <w:r>
        <w:rPr>
          <w:rFonts w:ascii="Times New Roman" w:hAnsi="Times New Roman" w:cs="Times New Roman"/>
          <w:sz w:val="24"/>
          <w:szCs w:val="24"/>
        </w:rPr>
        <w:t>platelet/lymphocyte ratio,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LMR</w:t>
      </w:r>
      <w:r>
        <w:rPr>
          <w:rFonts w:ascii="Times New Roman" w:hAnsi="Times New Roman" w:cs="Times New Roman"/>
          <w:sz w:val="24"/>
          <w:szCs w:val="24"/>
        </w:rPr>
        <w:t xml:space="preserve"> lymphocyte/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monocyte ratio,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CRP </w:t>
      </w:r>
      <w:r>
        <w:rPr>
          <w:rFonts w:ascii="Times New Roman" w:hAnsi="Times New Roman" w:cs="Times New Roman"/>
          <w:sz w:val="24"/>
          <w:szCs w:val="24"/>
        </w:rPr>
        <w:t xml:space="preserve">C-reactive protein, </w:t>
      </w:r>
      <w:r>
        <w:rPr>
          <w:rFonts w:ascii="Times New Roman" w:hAnsi="Times New Roman" w:cs="Times New Roman"/>
          <w:i/>
          <w:iCs/>
          <w:sz w:val="24"/>
          <w:szCs w:val="24"/>
        </w:rPr>
        <w:t>LDH</w:t>
      </w:r>
      <w:r>
        <w:rPr>
          <w:rFonts w:ascii="Times New Roman" w:hAnsi="Times New Roman" w:cs="Times New Roman"/>
          <w:sz w:val="24"/>
          <w:szCs w:val="24"/>
        </w:rPr>
        <w:t xml:space="preserve"> lactate dehydrogenase</w:t>
      </w:r>
    </w:p>
    <w:p w:rsidR="00E00B5A" w:rsidRDefault="00E00B5A" w:rsidP="00E00B5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a</w:t>
      </w:r>
      <w:proofErr w:type="spellEnd"/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inflammatory markers were divided into high and low groups by median value.</w:t>
      </w:r>
    </w:p>
    <w:p w:rsidR="00AD1398" w:rsidRDefault="00E00B5A" w:rsidP="00E00B5A"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>Pearson’s chi-square test was used in statistical analyses.</w:t>
      </w:r>
      <w:bookmarkStart w:id="1" w:name="_GoBack"/>
      <w:bookmarkEnd w:id="1"/>
    </w:p>
    <w:sectPr w:rsidR="00AD1398" w:rsidSect="00E00B5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B5A"/>
    <w:rsid w:val="00AD1398"/>
    <w:rsid w:val="00E0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212DA0-FA95-47CB-B620-65ED4E078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3">
    <w:name w:val="网格型3"/>
    <w:basedOn w:val="TableNormal"/>
    <w:uiPriority w:val="39"/>
    <w:rsid w:val="00E00B5A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5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2021-11-23T03:52:00Z</dcterms:created>
  <dcterms:modified xsi:type="dcterms:W3CDTF">2021-11-23T03:53:00Z</dcterms:modified>
</cp:coreProperties>
</file>