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Supplementary material</w:t>
      </w:r>
    </w:p>
    <w:p>
      <w:pPr>
        <w:spacing w:line="480" w:lineRule="auto"/>
      </w:pPr>
      <w:r>
        <w:rPr>
          <w:b w:val="0"/>
          <w:i w:val="0"/>
        </w:rPr>
        <w:t>Variant burden, trial power and annotation pitfalls across thirteen host-directed therapy target genes in the GenomeIndia cohort. Supplementary tables accompanying the manuscript submitted to Genes &amp; Immunity.</w:t>
      </w:r>
    </w:p>
    <w:p>
      <w:r>
        <w:rPr>
          <w:b/>
          <w:i w:val="0"/>
        </w:rPr>
        <w:t>Supplementary Table S1. Pathway-level robustness, computed from the per-gene scores in Table 2 and plotted in Figure 2.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c>
          <w:tcPr>
            <w:tcW w:type="dxa" w:w="1170"/>
          </w:tcPr>
          <w:p>
            <w:r>
              <w:rPr>
                <w:b/>
                <w:sz w:val="18"/>
              </w:rPr>
              <w:t>pathway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genes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mean_trs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min_trs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worst_gene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mean_lof_carrier_pct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mean_functional_carrier_pct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max_trial_n_inflation</w:t>
            </w:r>
          </w:p>
        </w:tc>
      </w:tr>
      <w:tr>
        <w:tc>
          <w:tcPr>
            <w:tcW w:type="dxa" w:w="1170"/>
          </w:tcPr>
          <w:p>
            <w:r>
              <w:rPr>
                <w:b w:val="0"/>
                <w:sz w:val="18"/>
              </w:rPr>
              <w:t>Vitamin D pathway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CYP27B1, VDR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0.998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0.997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CYP27B1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0.11%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1.33%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1.00x</w:t>
            </w:r>
          </w:p>
        </w:tc>
      </w:tr>
      <w:tr>
        <w:tc>
          <w:tcPr>
            <w:tcW w:type="dxa" w:w="1170"/>
          </w:tcPr>
          <w:p>
            <w:r>
              <w:rPr>
                <w:b w:val="0"/>
                <w:sz w:val="18"/>
              </w:rPr>
              <w:t>Interferon &amp; cytokine signalling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IFNG, IFNGR1, STAT1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0.997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0.995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STAT1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0.21%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0.96%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1.01x</w:t>
            </w:r>
          </w:p>
        </w:tc>
      </w:tr>
      <w:tr>
        <w:tc>
          <w:tcPr>
            <w:tcW w:type="dxa" w:w="1170"/>
          </w:tcPr>
          <w:p>
            <w:r>
              <w:rPr>
                <w:b w:val="0"/>
                <w:sz w:val="18"/>
              </w:rPr>
              <w:t>Inflammasome &amp; pattern recognition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NLRP3, NOD2, TLR2, TLR4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0.990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0.986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TLR4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0.44%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5.68%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1.02x</w:t>
            </w:r>
          </w:p>
        </w:tc>
      </w:tr>
      <w:tr>
        <w:tc>
          <w:tcPr>
            <w:tcW w:type="dxa" w:w="1170"/>
          </w:tcPr>
          <w:p>
            <w:r>
              <w:rPr>
                <w:b w:val="0"/>
                <w:sz w:val="18"/>
              </w:rPr>
              <w:t>Iron metabolism &amp; macrophage homeostasis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HAMP, SLC11A1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0.990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0.980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SLC11A1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0.05%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9.22%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1.00x</w:t>
            </w:r>
          </w:p>
        </w:tc>
      </w:tr>
      <w:tr>
        <w:tc>
          <w:tcPr>
            <w:tcW w:type="dxa" w:w="1170"/>
          </w:tcPr>
          <w:p>
            <w:r>
              <w:rPr>
                <w:b w:val="0"/>
                <w:sz w:val="18"/>
              </w:rPr>
              <w:t>Autophagy &amp; xenophagy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ATG16L1, IRGM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0.987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0.979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IRGM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0.18%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10.72%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1.01x</w:t>
            </w:r>
          </w:p>
        </w:tc>
      </w:tr>
    </w:tbl>
    <w:p>
      <w:pPr>
        <w:spacing w:line="480" w:lineRule="auto"/>
      </w:pPr>
      <w:r>
        <w:rPr>
          <w:b w:val="0"/>
          <w:i w:val="0"/>
        </w:rPr>
      </w:r>
    </w:p>
    <w:p>
      <w:r>
        <w:rPr>
          <w:b/>
          <w:i w:val="0"/>
        </w:rPr>
        <w:t>Supplementary Table S2. Parameter register: every declared assumption with its justification and sensitivity range.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c>
          <w:tcPr>
            <w:tcW w:type="dxa" w:w="1170"/>
          </w:tcPr>
          <w:p>
            <w:r>
              <w:rPr>
                <w:b/>
                <w:sz w:val="18"/>
              </w:rPr>
              <w:t>key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estimate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units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source_tier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source_id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ci_lower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ci_upper</w:t>
            </w:r>
          </w:p>
        </w:tc>
        <w:tc>
          <w:tcPr>
            <w:tcW w:type="dxa" w:w="1170"/>
          </w:tcPr>
          <w:p>
            <w:r>
              <w:rPr>
                <w:b/>
                <w:sz w:val="18"/>
              </w:rPr>
              <w:t>sens_lower</w:t>
            </w:r>
          </w:p>
        </w:tc>
      </w:tr>
      <w:tr>
        <w:tc>
          <w:tcPr>
            <w:tcW w:type="dxa" w:w="1170"/>
          </w:tcPr>
          <w:p>
            <w:r>
              <w:rPr>
                <w:b w:val="0"/>
                <w:sz w:val="18"/>
              </w:rPr>
              <w:t>trs_weight_pathogenic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1.0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weight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assumption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analysis-choice:trs-weights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0.5</w:t>
            </w:r>
          </w:p>
        </w:tc>
      </w:tr>
      <w:tr>
        <w:tc>
          <w:tcPr>
            <w:tcW w:type="dxa" w:w="1170"/>
          </w:tcPr>
          <w:p>
            <w:r>
              <w:rPr>
                <w:b w:val="0"/>
                <w:sz w:val="18"/>
              </w:rPr>
              <w:t>trs_weight_high_impact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1.0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weight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assumption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analysis-choice:trs-weights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0.5</w:t>
            </w:r>
          </w:p>
        </w:tc>
      </w:tr>
      <w:tr>
        <w:tc>
          <w:tcPr>
            <w:tcW w:type="dxa" w:w="1170"/>
          </w:tcPr>
          <w:p>
            <w:r>
              <w:rPr>
                <w:b w:val="0"/>
                <w:sz w:val="18"/>
              </w:rPr>
              <w:t>trs_weight_moderate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0.1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weight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assumption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analysis-choice:trs-weights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0.05</w:t>
            </w:r>
          </w:p>
        </w:tc>
      </w:tr>
      <w:tr>
        <w:tc>
          <w:tcPr>
            <w:tcW w:type="dxa" w:w="1170"/>
          </w:tcPr>
          <w:p>
            <w:r>
              <w:rPr>
                <w:b w:val="0"/>
                <w:sz w:val="18"/>
              </w:rPr>
              <w:t>lof_effect_loss_fraction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0.8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fraction of effect lost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assumption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analysis-choice:lof-effect-loss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0.5</w:t>
            </w:r>
          </w:p>
        </w:tc>
      </w:tr>
      <w:tr>
        <w:tc>
          <w:tcPr>
            <w:tcW w:type="dxa" w:w="1170"/>
          </w:tcPr>
          <w:p>
            <w:r>
              <w:rPr>
                <w:b w:val="0"/>
                <w:sz w:val="18"/>
              </w:rPr>
              <w:t>high_frequency_threshold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0.01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allele frequency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assumption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analysis-choice:reporting-threshold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0.005</w:t>
            </w:r>
          </w:p>
        </w:tc>
      </w:tr>
      <w:tr>
        <w:tc>
          <w:tcPr>
            <w:tcW w:type="dxa" w:w="1170"/>
          </w:tcPr>
          <w:p>
            <w:r>
              <w:rPr>
                <w:b w:val="0"/>
                <w:sz w:val="18"/>
              </w:rPr>
              <w:t>trs_threshold_highly_robust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0.95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TRS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assumption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analysis-choice:trs-verdict-bands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0.9</w:t>
            </w:r>
          </w:p>
        </w:tc>
      </w:tr>
      <w:tr>
        <w:tc>
          <w:tcPr>
            <w:tcW w:type="dxa" w:w="1170"/>
          </w:tcPr>
          <w:p>
            <w:r>
              <w:rPr>
                <w:b w:val="0"/>
                <w:sz w:val="18"/>
              </w:rPr>
              <w:t>trs_threshold_moderately_robust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0.85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TRS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assumption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analysis-choice:trs-verdict-bands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0.8</w:t>
            </w:r>
          </w:p>
        </w:tc>
      </w:tr>
      <w:tr>
        <w:tc>
          <w:tcPr>
            <w:tcW w:type="dxa" w:w="1170"/>
          </w:tcPr>
          <w:p>
            <w:r>
              <w:rPr>
                <w:b w:val="0"/>
                <w:sz w:val="18"/>
              </w:rPr>
              <w:t>gidb_allele_number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19536.0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alleles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measured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  <w:t>data/processed/gidb/gidb_tb_panel_variants.tsv.gz (AN column)</w:t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  <w:tc>
          <w:tcPr>
            <w:tcW w:type="dxa" w:w="1170"/>
          </w:tcPr>
          <w:p>
            <w:r>
              <w:rPr>
                <w:b w:val="0"/>
                <w:sz w:val="18"/>
              </w:rPr>
            </w:r>
          </w:p>
        </w:tc>
      </w:tr>
    </w:tbl>
    <w:p>
      <w:pPr>
        <w:spacing w:line="480" w:lineRule="auto"/>
      </w:pPr>
      <w:r>
        <w:rPr>
          <w:b w:val="0"/>
          <w:i w:val="0"/>
        </w:rPr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  <w:lnNumType w:countBy="1" w:restart="continuous" w:distance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