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eastAsia="Times New Roman"/>
          <w:b/>
          <w:sz w:val="22"/>
        </w:rPr>
        <w:t>Extended eight-variable multivariable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Variable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β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SE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OR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95% CI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/>
                <w:sz w:val="22"/>
              </w:rPr>
              <w:t>P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NLR (log)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0.623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0.226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1.86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1.20–2.90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0.006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hs-cTnI (log)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0.179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0.121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1.20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0.94–1.52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0.139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Culprit vessel LAD (incl. LM)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−0.929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0.357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0.39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0.20–0.79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0.009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Heavy thrombus burden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−0.349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0.614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0.71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0.21–2.35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0.570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LVEF, %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−0.010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0.016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0.99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0.96–1.02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0.537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STEMI type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0.269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0.371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1.31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0.63–2.71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0.468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Age, years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−0.002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0.012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1.00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0.97–1.02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0.857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Male sex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0.070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0.436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1.07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0.46–2.52</w:t>
            </w:r>
          </w:p>
        </w:tc>
        <w:tc>
          <w:tcPr>
            <w:tcW w:type="dxa" w:w="1440"/>
          </w:tcPr>
          <w:p>
            <w:r/>
            <w:r>
              <w:rPr>
                <w:rFonts w:ascii="Times New Roman" w:hAnsi="Times New Roman" w:eastAsia="Times New Roman"/>
                <w:b w:val="0"/>
                <w:sz w:val="22"/>
              </w:rPr>
              <w:t>0.873</w:t>
            </w:r>
          </w:p>
        </w:tc>
      </w:tr>
    </w:tbl>
    <w:p>
      <w:r>
        <w:rPr>
          <w:rFonts w:ascii="Times New Roman" w:hAnsi="Times New Roman" w:eastAsia="Times New Roman"/>
          <w:b w:val="0"/>
          <w:sz w:val="22"/>
        </w:rPr>
        <w:t>Additional file 5. Extended eight-variable multivariable model. n=293, events=50; model AUC=0.733. Adding thrombus burden, LVEF, AMI type, age and sex did not improve discrimination over the three-variable model (ΔAUC ≤ 0.002; see Table 4 in the main text).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