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eastAsia="Times New Roman"/>
          <w:b/>
          <w:sz w:val="22"/>
        </w:rPr>
        <w:t>Sensitivity analysis of culprit-vessel coding (left main excluded from LAD)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Variable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β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SE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OR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95% CI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P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NLR (log)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0.641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0.218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1.90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1.24–2.91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0.003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hs-cTnI (log)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0.212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0.106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1.24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1.01–1.52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0.044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Culprit vessel LAD (LM excluded)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−0.713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0.344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0.49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0.25–0.96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0.038</w:t>
            </w:r>
          </w:p>
        </w:tc>
      </w:tr>
    </w:tbl>
    <w:p>
      <w:r>
        <w:rPr>
          <w:rFonts w:ascii="Times New Roman" w:hAnsi="Times New Roman" w:eastAsia="Times New Roman"/>
          <w:b w:val="0"/>
          <w:sz w:val="22"/>
        </w:rPr>
        <w:t>Additional file 2. Sensitivity analysis using the original LAD coding (LM excluded from LAD). Under the original coding, LM/LM-LAD lesions (8 cases) were classified as non-LAD; n=294, events=50, model AUC=0.725 (95% CI 0.647–0.797). The direction and significance of all associations were unchanged, excluding a coding artifact. ORs are per 1 natural-log unit increase (continuous) or for the presence vs absence of the category (LAD).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