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37E6A" w14:textId="441CA969" w:rsidR="005F6BD6" w:rsidRDefault="002A1DF5" w:rsidP="005F6BD6">
      <w:pPr>
        <w:keepNext/>
      </w:pPr>
      <w:r>
        <w:t>Supplementary</w:t>
      </w:r>
      <w:r w:rsidR="005F6BD6">
        <w:t xml:space="preserve"> Materials for:</w:t>
      </w:r>
    </w:p>
    <w:p w14:paraId="1342E6CC" w14:textId="25E7AED9" w:rsidR="00772286" w:rsidRDefault="0041070E" w:rsidP="0041070E">
      <w:pPr>
        <w:jc w:val="center"/>
        <w:rPr>
          <w:b/>
          <w:u w:val="single"/>
        </w:rPr>
      </w:pPr>
      <w:r>
        <w:rPr>
          <w:b/>
          <w:u w:val="single"/>
        </w:rPr>
        <w:t>Quantitative serology for SARS-CoV-2 using self-collected saliva and finger-stick b</w:t>
      </w:r>
      <w:r w:rsidR="005F6BD6">
        <w:rPr>
          <w:b/>
          <w:u w:val="single"/>
        </w:rPr>
        <w:t>lood</w:t>
      </w:r>
    </w:p>
    <w:p w14:paraId="06874F79" w14:textId="77777777" w:rsidR="00772286" w:rsidRDefault="00772286" w:rsidP="00772286">
      <w:pPr>
        <w:rPr>
          <w:b/>
          <w:u w:val="single"/>
        </w:rPr>
      </w:pPr>
    </w:p>
    <w:sdt>
      <w:sdtPr>
        <w:rPr>
          <w:b w:val="0"/>
        </w:rPr>
        <w:id w:val="782698644"/>
        <w:docPartObj>
          <w:docPartGallery w:val="Table of Contents"/>
          <w:docPartUnique/>
        </w:docPartObj>
      </w:sdtPr>
      <w:sdtEndPr>
        <w:rPr>
          <w:bCs/>
          <w:noProof/>
        </w:rPr>
      </w:sdtEndPr>
      <w:sdtContent>
        <w:p w14:paraId="2CEADEE5" w14:textId="3D739CD1" w:rsidR="00A4254B" w:rsidRDefault="00A4254B">
          <w:pPr>
            <w:pStyle w:val="TOCHeading"/>
          </w:pPr>
          <w:r>
            <w:t>Contents</w:t>
          </w:r>
        </w:p>
        <w:p w14:paraId="7F362D8B" w14:textId="2B3A7086" w:rsidR="001C2B76" w:rsidRDefault="00A4254B">
          <w:pPr>
            <w:pStyle w:val="TOC1"/>
            <w:tabs>
              <w:tab w:val="right" w:leader="dot" w:pos="10790"/>
            </w:tabs>
            <w:rPr>
              <w:rFonts w:cstheme="minorBidi"/>
              <w:noProof/>
            </w:rPr>
          </w:pPr>
          <w:r>
            <w:fldChar w:fldCharType="begin"/>
          </w:r>
          <w:r>
            <w:instrText xml:space="preserve"> TOC \o "1-3" \h \z \u </w:instrText>
          </w:r>
          <w:r>
            <w:fldChar w:fldCharType="separate"/>
          </w:r>
          <w:hyperlink w:anchor="_Toc72940010" w:history="1">
            <w:r w:rsidR="001C2B76" w:rsidRPr="00A86445">
              <w:rPr>
                <w:rStyle w:val="Hyperlink"/>
                <w:noProof/>
              </w:rPr>
              <w:t>Supplementary Figure 1.  Mailable kit for self-collection of saliva.</w:t>
            </w:r>
            <w:r w:rsidR="001C2B76">
              <w:rPr>
                <w:noProof/>
                <w:webHidden/>
              </w:rPr>
              <w:tab/>
            </w:r>
            <w:r w:rsidR="001C2B76">
              <w:rPr>
                <w:noProof/>
                <w:webHidden/>
              </w:rPr>
              <w:fldChar w:fldCharType="begin"/>
            </w:r>
            <w:r w:rsidR="001C2B76">
              <w:rPr>
                <w:noProof/>
                <w:webHidden/>
              </w:rPr>
              <w:instrText xml:space="preserve"> PAGEREF _Toc72940010 \h </w:instrText>
            </w:r>
            <w:r w:rsidR="001C2B76">
              <w:rPr>
                <w:noProof/>
                <w:webHidden/>
              </w:rPr>
            </w:r>
            <w:r w:rsidR="001C2B76">
              <w:rPr>
                <w:noProof/>
                <w:webHidden/>
              </w:rPr>
              <w:fldChar w:fldCharType="separate"/>
            </w:r>
            <w:r w:rsidR="001C2B76">
              <w:rPr>
                <w:noProof/>
                <w:webHidden/>
              </w:rPr>
              <w:t>2</w:t>
            </w:r>
            <w:r w:rsidR="001C2B76">
              <w:rPr>
                <w:noProof/>
                <w:webHidden/>
              </w:rPr>
              <w:fldChar w:fldCharType="end"/>
            </w:r>
          </w:hyperlink>
        </w:p>
        <w:p w14:paraId="5C7E1ABE" w14:textId="23E98D67" w:rsidR="001C2B76" w:rsidRDefault="00F77B9B">
          <w:pPr>
            <w:pStyle w:val="TOC1"/>
            <w:tabs>
              <w:tab w:val="right" w:leader="dot" w:pos="10790"/>
            </w:tabs>
            <w:rPr>
              <w:rFonts w:cstheme="minorBidi"/>
              <w:noProof/>
            </w:rPr>
          </w:pPr>
          <w:hyperlink w:anchor="_Toc72940011" w:history="1">
            <w:r w:rsidR="001C2B76" w:rsidRPr="00A86445">
              <w:rPr>
                <w:rStyle w:val="Hyperlink"/>
                <w:noProof/>
              </w:rPr>
              <w:t>Supplementary Table 1.  Average daily percent declines in salivary IgG antibodies stored at +27° C.</w:t>
            </w:r>
            <w:r w:rsidR="001C2B76">
              <w:rPr>
                <w:noProof/>
                <w:webHidden/>
              </w:rPr>
              <w:tab/>
            </w:r>
            <w:r w:rsidR="001C2B76">
              <w:rPr>
                <w:noProof/>
                <w:webHidden/>
              </w:rPr>
              <w:fldChar w:fldCharType="begin"/>
            </w:r>
            <w:r w:rsidR="001C2B76">
              <w:rPr>
                <w:noProof/>
                <w:webHidden/>
              </w:rPr>
              <w:instrText xml:space="preserve"> PAGEREF _Toc72940011 \h </w:instrText>
            </w:r>
            <w:r w:rsidR="001C2B76">
              <w:rPr>
                <w:noProof/>
                <w:webHidden/>
              </w:rPr>
            </w:r>
            <w:r w:rsidR="001C2B76">
              <w:rPr>
                <w:noProof/>
                <w:webHidden/>
              </w:rPr>
              <w:fldChar w:fldCharType="separate"/>
            </w:r>
            <w:r w:rsidR="001C2B76">
              <w:rPr>
                <w:noProof/>
                <w:webHidden/>
              </w:rPr>
              <w:t>3</w:t>
            </w:r>
            <w:r w:rsidR="001C2B76">
              <w:rPr>
                <w:noProof/>
                <w:webHidden/>
              </w:rPr>
              <w:fldChar w:fldCharType="end"/>
            </w:r>
          </w:hyperlink>
        </w:p>
        <w:p w14:paraId="6CD4D57E" w14:textId="1FD2B578" w:rsidR="001C2B76" w:rsidRDefault="00F77B9B">
          <w:pPr>
            <w:pStyle w:val="TOC1"/>
            <w:tabs>
              <w:tab w:val="right" w:leader="dot" w:pos="10790"/>
            </w:tabs>
            <w:rPr>
              <w:rFonts w:cstheme="minorBidi"/>
              <w:noProof/>
            </w:rPr>
          </w:pPr>
          <w:hyperlink w:anchor="_Toc72940012" w:history="1">
            <w:r w:rsidR="001C2B76" w:rsidRPr="00A86445">
              <w:rPr>
                <w:rStyle w:val="Hyperlink"/>
                <w:noProof/>
              </w:rPr>
              <w:t>Supplementary Figure 2.  Stability of refrigerated saliva.</w:t>
            </w:r>
            <w:r w:rsidR="001C2B76">
              <w:rPr>
                <w:noProof/>
                <w:webHidden/>
              </w:rPr>
              <w:tab/>
            </w:r>
            <w:r w:rsidR="001C2B76">
              <w:rPr>
                <w:noProof/>
                <w:webHidden/>
              </w:rPr>
              <w:fldChar w:fldCharType="begin"/>
            </w:r>
            <w:r w:rsidR="001C2B76">
              <w:rPr>
                <w:noProof/>
                <w:webHidden/>
              </w:rPr>
              <w:instrText xml:space="preserve"> PAGEREF _Toc72940012 \h </w:instrText>
            </w:r>
            <w:r w:rsidR="001C2B76">
              <w:rPr>
                <w:noProof/>
                <w:webHidden/>
              </w:rPr>
            </w:r>
            <w:r w:rsidR="001C2B76">
              <w:rPr>
                <w:noProof/>
                <w:webHidden/>
              </w:rPr>
              <w:fldChar w:fldCharType="separate"/>
            </w:r>
            <w:r w:rsidR="001C2B76">
              <w:rPr>
                <w:noProof/>
                <w:webHidden/>
              </w:rPr>
              <w:t>4</w:t>
            </w:r>
            <w:r w:rsidR="001C2B76">
              <w:rPr>
                <w:noProof/>
                <w:webHidden/>
              </w:rPr>
              <w:fldChar w:fldCharType="end"/>
            </w:r>
          </w:hyperlink>
        </w:p>
        <w:p w14:paraId="3C0F473F" w14:textId="18D4179C" w:rsidR="001C2B76" w:rsidRDefault="00F77B9B">
          <w:pPr>
            <w:pStyle w:val="TOC1"/>
            <w:tabs>
              <w:tab w:val="right" w:leader="dot" w:pos="10790"/>
            </w:tabs>
            <w:rPr>
              <w:rFonts w:cstheme="minorBidi"/>
              <w:noProof/>
            </w:rPr>
          </w:pPr>
          <w:hyperlink w:anchor="_Toc72940013" w:history="1">
            <w:r w:rsidR="001C2B76" w:rsidRPr="00A86445">
              <w:rPr>
                <w:rStyle w:val="Hyperlink"/>
                <w:noProof/>
              </w:rPr>
              <w:t>Supplement Figure 3.  Robustness to repeated freeze thaws.</w:t>
            </w:r>
            <w:r w:rsidR="001C2B76">
              <w:rPr>
                <w:noProof/>
                <w:webHidden/>
              </w:rPr>
              <w:tab/>
            </w:r>
            <w:r w:rsidR="001C2B76">
              <w:rPr>
                <w:noProof/>
                <w:webHidden/>
              </w:rPr>
              <w:fldChar w:fldCharType="begin"/>
            </w:r>
            <w:r w:rsidR="001C2B76">
              <w:rPr>
                <w:noProof/>
                <w:webHidden/>
              </w:rPr>
              <w:instrText xml:space="preserve"> PAGEREF _Toc72940013 \h </w:instrText>
            </w:r>
            <w:r w:rsidR="001C2B76">
              <w:rPr>
                <w:noProof/>
                <w:webHidden/>
              </w:rPr>
            </w:r>
            <w:r w:rsidR="001C2B76">
              <w:rPr>
                <w:noProof/>
                <w:webHidden/>
              </w:rPr>
              <w:fldChar w:fldCharType="separate"/>
            </w:r>
            <w:r w:rsidR="001C2B76">
              <w:rPr>
                <w:noProof/>
                <w:webHidden/>
              </w:rPr>
              <w:t>5</w:t>
            </w:r>
            <w:r w:rsidR="001C2B76">
              <w:rPr>
                <w:noProof/>
                <w:webHidden/>
              </w:rPr>
              <w:fldChar w:fldCharType="end"/>
            </w:r>
          </w:hyperlink>
        </w:p>
        <w:p w14:paraId="312D1B1F" w14:textId="5E555FAF" w:rsidR="001C2B76" w:rsidRDefault="00F77B9B">
          <w:pPr>
            <w:pStyle w:val="TOC1"/>
            <w:tabs>
              <w:tab w:val="right" w:leader="dot" w:pos="10790"/>
            </w:tabs>
            <w:rPr>
              <w:rFonts w:cstheme="minorBidi"/>
              <w:noProof/>
            </w:rPr>
          </w:pPr>
          <w:hyperlink w:anchor="_Toc72940014" w:history="1">
            <w:r w:rsidR="001C2B76" w:rsidRPr="00A86445">
              <w:rPr>
                <w:rStyle w:val="Hyperlink"/>
                <w:noProof/>
              </w:rPr>
              <w:t>Supplementary Figure 4.  Total immunoglobulin levels measured in finger-stick blood and saliva.</w:t>
            </w:r>
            <w:r w:rsidR="001C2B76">
              <w:rPr>
                <w:noProof/>
                <w:webHidden/>
              </w:rPr>
              <w:tab/>
            </w:r>
            <w:r w:rsidR="001C2B76">
              <w:rPr>
                <w:noProof/>
                <w:webHidden/>
              </w:rPr>
              <w:fldChar w:fldCharType="begin"/>
            </w:r>
            <w:r w:rsidR="001C2B76">
              <w:rPr>
                <w:noProof/>
                <w:webHidden/>
              </w:rPr>
              <w:instrText xml:space="preserve"> PAGEREF _Toc72940014 \h </w:instrText>
            </w:r>
            <w:r w:rsidR="001C2B76">
              <w:rPr>
                <w:noProof/>
                <w:webHidden/>
              </w:rPr>
            </w:r>
            <w:r w:rsidR="001C2B76">
              <w:rPr>
                <w:noProof/>
                <w:webHidden/>
              </w:rPr>
              <w:fldChar w:fldCharType="separate"/>
            </w:r>
            <w:r w:rsidR="001C2B76">
              <w:rPr>
                <w:noProof/>
                <w:webHidden/>
              </w:rPr>
              <w:t>6</w:t>
            </w:r>
            <w:r w:rsidR="001C2B76">
              <w:rPr>
                <w:noProof/>
                <w:webHidden/>
              </w:rPr>
              <w:fldChar w:fldCharType="end"/>
            </w:r>
          </w:hyperlink>
        </w:p>
        <w:p w14:paraId="2A7648EF" w14:textId="6D6417F7" w:rsidR="001C2B76" w:rsidRDefault="00F77B9B">
          <w:pPr>
            <w:pStyle w:val="TOC1"/>
            <w:tabs>
              <w:tab w:val="right" w:leader="dot" w:pos="10790"/>
            </w:tabs>
            <w:rPr>
              <w:rFonts w:cstheme="minorBidi"/>
              <w:noProof/>
            </w:rPr>
          </w:pPr>
          <w:hyperlink w:anchor="_Toc72940015" w:history="1">
            <w:r w:rsidR="001C2B76" w:rsidRPr="00A86445">
              <w:rPr>
                <w:rStyle w:val="Hyperlink"/>
                <w:noProof/>
              </w:rPr>
              <w:t>Supplementary Figure 5.  IgG antibodies to endemic coronaviruses in self-collected saliva.</w:t>
            </w:r>
            <w:r w:rsidR="001C2B76">
              <w:rPr>
                <w:noProof/>
                <w:webHidden/>
              </w:rPr>
              <w:tab/>
            </w:r>
            <w:r w:rsidR="001C2B76">
              <w:rPr>
                <w:noProof/>
                <w:webHidden/>
              </w:rPr>
              <w:fldChar w:fldCharType="begin"/>
            </w:r>
            <w:r w:rsidR="001C2B76">
              <w:rPr>
                <w:noProof/>
                <w:webHidden/>
              </w:rPr>
              <w:instrText xml:space="preserve"> PAGEREF _Toc72940015 \h </w:instrText>
            </w:r>
            <w:r w:rsidR="001C2B76">
              <w:rPr>
                <w:noProof/>
                <w:webHidden/>
              </w:rPr>
            </w:r>
            <w:r w:rsidR="001C2B76">
              <w:rPr>
                <w:noProof/>
                <w:webHidden/>
              </w:rPr>
              <w:fldChar w:fldCharType="separate"/>
            </w:r>
            <w:r w:rsidR="001C2B76">
              <w:rPr>
                <w:noProof/>
                <w:webHidden/>
              </w:rPr>
              <w:t>7</w:t>
            </w:r>
            <w:r w:rsidR="001C2B76">
              <w:rPr>
                <w:noProof/>
                <w:webHidden/>
              </w:rPr>
              <w:fldChar w:fldCharType="end"/>
            </w:r>
          </w:hyperlink>
        </w:p>
        <w:p w14:paraId="16D8B60B" w14:textId="49C92C5C" w:rsidR="001C2B76" w:rsidRDefault="00F77B9B">
          <w:pPr>
            <w:pStyle w:val="TOC1"/>
            <w:tabs>
              <w:tab w:val="right" w:leader="dot" w:pos="10790"/>
            </w:tabs>
            <w:rPr>
              <w:rFonts w:cstheme="minorBidi"/>
              <w:noProof/>
            </w:rPr>
          </w:pPr>
          <w:hyperlink w:anchor="_Toc72940016" w:history="1">
            <w:r w:rsidR="001C2B76" w:rsidRPr="00A86445">
              <w:rPr>
                <w:rStyle w:val="Hyperlink"/>
                <w:noProof/>
              </w:rPr>
              <w:t>Supplementary Figure 6.  Reactivity to endemic coronavirus spike proteins in self-collected finger-stick blood (FSB) and saliva.</w:t>
            </w:r>
            <w:r w:rsidR="001C2B76">
              <w:rPr>
                <w:noProof/>
                <w:webHidden/>
              </w:rPr>
              <w:tab/>
            </w:r>
            <w:r w:rsidR="001C2B76">
              <w:rPr>
                <w:noProof/>
                <w:webHidden/>
              </w:rPr>
              <w:fldChar w:fldCharType="begin"/>
            </w:r>
            <w:r w:rsidR="001C2B76">
              <w:rPr>
                <w:noProof/>
                <w:webHidden/>
              </w:rPr>
              <w:instrText xml:space="preserve"> PAGEREF _Toc72940016 \h </w:instrText>
            </w:r>
            <w:r w:rsidR="001C2B76">
              <w:rPr>
                <w:noProof/>
                <w:webHidden/>
              </w:rPr>
            </w:r>
            <w:r w:rsidR="001C2B76">
              <w:rPr>
                <w:noProof/>
                <w:webHidden/>
              </w:rPr>
              <w:fldChar w:fldCharType="separate"/>
            </w:r>
            <w:r w:rsidR="001C2B76">
              <w:rPr>
                <w:noProof/>
                <w:webHidden/>
              </w:rPr>
              <w:t>8</w:t>
            </w:r>
            <w:r w:rsidR="001C2B76">
              <w:rPr>
                <w:noProof/>
                <w:webHidden/>
              </w:rPr>
              <w:fldChar w:fldCharType="end"/>
            </w:r>
          </w:hyperlink>
        </w:p>
        <w:p w14:paraId="12CC86D6" w14:textId="458FC28D" w:rsidR="001C2B76" w:rsidRDefault="00F77B9B">
          <w:pPr>
            <w:pStyle w:val="TOC1"/>
            <w:tabs>
              <w:tab w:val="right" w:leader="dot" w:pos="10790"/>
            </w:tabs>
            <w:rPr>
              <w:rFonts w:cstheme="minorBidi"/>
              <w:noProof/>
            </w:rPr>
          </w:pPr>
          <w:hyperlink w:anchor="_Toc72940017" w:history="1">
            <w:r w:rsidR="001C2B76" w:rsidRPr="00A86445">
              <w:rPr>
                <w:rStyle w:val="Hyperlink"/>
                <w:noProof/>
              </w:rPr>
              <w:t>Supplementary Table 2.  Immunoglobulin concentrations in finger-stick blood self-collected by donors without confirmed COVID-19 diagnosis, household exposure, or recent symptoms.</w:t>
            </w:r>
            <w:r w:rsidR="001C2B76">
              <w:rPr>
                <w:noProof/>
                <w:webHidden/>
              </w:rPr>
              <w:tab/>
            </w:r>
            <w:r w:rsidR="001C2B76">
              <w:rPr>
                <w:noProof/>
                <w:webHidden/>
              </w:rPr>
              <w:fldChar w:fldCharType="begin"/>
            </w:r>
            <w:r w:rsidR="001C2B76">
              <w:rPr>
                <w:noProof/>
                <w:webHidden/>
              </w:rPr>
              <w:instrText xml:space="preserve"> PAGEREF _Toc72940017 \h </w:instrText>
            </w:r>
            <w:r w:rsidR="001C2B76">
              <w:rPr>
                <w:noProof/>
                <w:webHidden/>
              </w:rPr>
            </w:r>
            <w:r w:rsidR="001C2B76">
              <w:rPr>
                <w:noProof/>
                <w:webHidden/>
              </w:rPr>
              <w:fldChar w:fldCharType="separate"/>
            </w:r>
            <w:r w:rsidR="001C2B76">
              <w:rPr>
                <w:noProof/>
                <w:webHidden/>
              </w:rPr>
              <w:t>9</w:t>
            </w:r>
            <w:r w:rsidR="001C2B76">
              <w:rPr>
                <w:noProof/>
                <w:webHidden/>
              </w:rPr>
              <w:fldChar w:fldCharType="end"/>
            </w:r>
          </w:hyperlink>
        </w:p>
        <w:p w14:paraId="4B5D741E" w14:textId="0F9E851D" w:rsidR="001C2B76" w:rsidRDefault="00F77B9B">
          <w:pPr>
            <w:pStyle w:val="TOC1"/>
            <w:tabs>
              <w:tab w:val="right" w:leader="dot" w:pos="10790"/>
            </w:tabs>
            <w:rPr>
              <w:rFonts w:cstheme="minorBidi"/>
              <w:noProof/>
            </w:rPr>
          </w:pPr>
          <w:hyperlink w:anchor="_Toc72940018" w:history="1">
            <w:r w:rsidR="001C2B76" w:rsidRPr="00A86445">
              <w:rPr>
                <w:rStyle w:val="Hyperlink"/>
                <w:noProof/>
              </w:rPr>
              <w:t>Supplementary Table 3.  Immunoglobulin concentrations in saliva self-collected by donors without confirmed COVID-19 diagnosis, household exposure, or recent symptoms.</w:t>
            </w:r>
            <w:r w:rsidR="001C2B76">
              <w:rPr>
                <w:noProof/>
                <w:webHidden/>
              </w:rPr>
              <w:tab/>
            </w:r>
            <w:r w:rsidR="001C2B76">
              <w:rPr>
                <w:noProof/>
                <w:webHidden/>
              </w:rPr>
              <w:fldChar w:fldCharType="begin"/>
            </w:r>
            <w:r w:rsidR="001C2B76">
              <w:rPr>
                <w:noProof/>
                <w:webHidden/>
              </w:rPr>
              <w:instrText xml:space="preserve"> PAGEREF _Toc72940018 \h </w:instrText>
            </w:r>
            <w:r w:rsidR="001C2B76">
              <w:rPr>
                <w:noProof/>
                <w:webHidden/>
              </w:rPr>
            </w:r>
            <w:r w:rsidR="001C2B76">
              <w:rPr>
                <w:noProof/>
                <w:webHidden/>
              </w:rPr>
              <w:fldChar w:fldCharType="separate"/>
            </w:r>
            <w:r w:rsidR="001C2B76">
              <w:rPr>
                <w:noProof/>
                <w:webHidden/>
              </w:rPr>
              <w:t>10</w:t>
            </w:r>
            <w:r w:rsidR="001C2B76">
              <w:rPr>
                <w:noProof/>
                <w:webHidden/>
              </w:rPr>
              <w:fldChar w:fldCharType="end"/>
            </w:r>
          </w:hyperlink>
        </w:p>
        <w:p w14:paraId="5B3C7B76" w14:textId="7AB06EF7" w:rsidR="001C2B76" w:rsidRDefault="00F77B9B">
          <w:pPr>
            <w:pStyle w:val="TOC1"/>
            <w:tabs>
              <w:tab w:val="right" w:leader="dot" w:pos="10790"/>
            </w:tabs>
            <w:rPr>
              <w:rFonts w:cstheme="minorBidi"/>
              <w:noProof/>
            </w:rPr>
          </w:pPr>
          <w:hyperlink w:anchor="_Toc72940019" w:history="1">
            <w:r w:rsidR="001C2B76" w:rsidRPr="00A86445">
              <w:rPr>
                <w:rStyle w:val="Hyperlink"/>
                <w:noProof/>
              </w:rPr>
              <w:t>Supplementary Table 4.  Antibody concentrations for endemic coronaviruses in finger-stick blood, saliva, and serum.</w:t>
            </w:r>
            <w:r w:rsidR="001C2B76">
              <w:rPr>
                <w:noProof/>
                <w:webHidden/>
              </w:rPr>
              <w:tab/>
            </w:r>
            <w:r w:rsidR="001C2B76">
              <w:rPr>
                <w:noProof/>
                <w:webHidden/>
              </w:rPr>
              <w:fldChar w:fldCharType="begin"/>
            </w:r>
            <w:r w:rsidR="001C2B76">
              <w:rPr>
                <w:noProof/>
                <w:webHidden/>
              </w:rPr>
              <w:instrText xml:space="preserve"> PAGEREF _Toc72940019 \h </w:instrText>
            </w:r>
            <w:r w:rsidR="001C2B76">
              <w:rPr>
                <w:noProof/>
                <w:webHidden/>
              </w:rPr>
            </w:r>
            <w:r w:rsidR="001C2B76">
              <w:rPr>
                <w:noProof/>
                <w:webHidden/>
              </w:rPr>
              <w:fldChar w:fldCharType="separate"/>
            </w:r>
            <w:r w:rsidR="001C2B76">
              <w:rPr>
                <w:noProof/>
                <w:webHidden/>
              </w:rPr>
              <w:t>11</w:t>
            </w:r>
            <w:r w:rsidR="001C2B76">
              <w:rPr>
                <w:noProof/>
                <w:webHidden/>
              </w:rPr>
              <w:fldChar w:fldCharType="end"/>
            </w:r>
          </w:hyperlink>
        </w:p>
        <w:p w14:paraId="3A595288" w14:textId="7E9D44C6" w:rsidR="001C2B76" w:rsidRDefault="00F77B9B">
          <w:pPr>
            <w:pStyle w:val="TOC1"/>
            <w:tabs>
              <w:tab w:val="right" w:leader="dot" w:pos="10790"/>
            </w:tabs>
            <w:rPr>
              <w:rFonts w:cstheme="minorBidi"/>
              <w:noProof/>
            </w:rPr>
          </w:pPr>
          <w:hyperlink w:anchor="_Toc72940020" w:history="1">
            <w:r w:rsidR="001C2B76" w:rsidRPr="00A86445">
              <w:rPr>
                <w:rStyle w:val="Hyperlink"/>
                <w:noProof/>
              </w:rPr>
              <w:t>Supplementary Figure 7.  Correlation in reactivity to CoV-2 antigens measured in self-collected saliva versus finger-stick blood.</w:t>
            </w:r>
            <w:r w:rsidR="001C2B76">
              <w:rPr>
                <w:noProof/>
                <w:webHidden/>
              </w:rPr>
              <w:tab/>
            </w:r>
            <w:r w:rsidR="001C2B76">
              <w:rPr>
                <w:noProof/>
                <w:webHidden/>
              </w:rPr>
              <w:fldChar w:fldCharType="begin"/>
            </w:r>
            <w:r w:rsidR="001C2B76">
              <w:rPr>
                <w:noProof/>
                <w:webHidden/>
              </w:rPr>
              <w:instrText xml:space="preserve"> PAGEREF _Toc72940020 \h </w:instrText>
            </w:r>
            <w:r w:rsidR="001C2B76">
              <w:rPr>
                <w:noProof/>
                <w:webHidden/>
              </w:rPr>
            </w:r>
            <w:r w:rsidR="001C2B76">
              <w:rPr>
                <w:noProof/>
                <w:webHidden/>
              </w:rPr>
              <w:fldChar w:fldCharType="separate"/>
            </w:r>
            <w:r w:rsidR="001C2B76">
              <w:rPr>
                <w:noProof/>
                <w:webHidden/>
              </w:rPr>
              <w:t>12</w:t>
            </w:r>
            <w:r w:rsidR="001C2B76">
              <w:rPr>
                <w:noProof/>
                <w:webHidden/>
              </w:rPr>
              <w:fldChar w:fldCharType="end"/>
            </w:r>
          </w:hyperlink>
        </w:p>
        <w:p w14:paraId="4975B887" w14:textId="024DD6CD" w:rsidR="00A4254B" w:rsidRDefault="00A4254B">
          <w:r>
            <w:rPr>
              <w:b/>
              <w:bCs/>
              <w:noProof/>
            </w:rPr>
            <w:fldChar w:fldCharType="end"/>
          </w:r>
        </w:p>
      </w:sdtContent>
    </w:sdt>
    <w:p w14:paraId="6BD3BF90" w14:textId="089CE845" w:rsidR="005F6BD6" w:rsidRDefault="005F6BD6" w:rsidP="00772286">
      <w:r>
        <w:br w:type="page"/>
      </w:r>
    </w:p>
    <w:p w14:paraId="3E8DE96A" w14:textId="77777777" w:rsidR="00381268" w:rsidRDefault="002200E5" w:rsidP="00381268">
      <w:pPr>
        <w:keepNext/>
      </w:pPr>
      <w:r>
        <w:rPr>
          <w:noProof/>
        </w:rPr>
        <w:lastRenderedPageBreak/>
        <w:drawing>
          <wp:inline distT="0" distB="0" distL="0" distR="0" wp14:anchorId="10DE3529" wp14:editId="7FA14488">
            <wp:extent cx="6229350" cy="2851126"/>
            <wp:effectExtent l="0" t="0" r="0" b="6985"/>
            <wp:docPr id="9" name="Saliva Collection Kit Figur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aliva Collection Kit Figure-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57089" cy="2863822"/>
                    </a:xfrm>
                    <a:prstGeom prst="rect">
                      <a:avLst/>
                    </a:prstGeom>
                  </pic:spPr>
                </pic:pic>
              </a:graphicData>
            </a:graphic>
          </wp:inline>
        </w:drawing>
      </w:r>
    </w:p>
    <w:p w14:paraId="365E13A9" w14:textId="1571B932" w:rsidR="00683B52" w:rsidRDefault="002A1DF5" w:rsidP="00381268">
      <w:bookmarkStart w:id="0" w:name="_Toc72940010"/>
      <w:bookmarkStart w:id="1" w:name="_Toc62734085"/>
      <w:r>
        <w:rPr>
          <w:rStyle w:val="Heading1Char"/>
        </w:rPr>
        <w:t>Supplementary</w:t>
      </w:r>
      <w:r w:rsidR="001C12F5" w:rsidRPr="00381268">
        <w:rPr>
          <w:rStyle w:val="Heading1Char"/>
        </w:rPr>
        <w:t xml:space="preserve"> </w:t>
      </w:r>
      <w:r w:rsidR="00381268" w:rsidRPr="00381268">
        <w:rPr>
          <w:rStyle w:val="Heading1Char"/>
        </w:rPr>
        <w:t xml:space="preserve">Figure </w:t>
      </w:r>
      <w:r w:rsidR="00381268" w:rsidRPr="00381268">
        <w:rPr>
          <w:rStyle w:val="Heading1Char"/>
        </w:rPr>
        <w:fldChar w:fldCharType="begin"/>
      </w:r>
      <w:r w:rsidR="00381268" w:rsidRPr="00381268">
        <w:rPr>
          <w:rStyle w:val="Heading1Char"/>
        </w:rPr>
        <w:instrText xml:space="preserve"> SEQ Figure \* ARABIC </w:instrText>
      </w:r>
      <w:r w:rsidR="00381268" w:rsidRPr="00381268">
        <w:rPr>
          <w:rStyle w:val="Heading1Char"/>
        </w:rPr>
        <w:fldChar w:fldCharType="separate"/>
      </w:r>
      <w:r w:rsidR="00381268">
        <w:rPr>
          <w:rStyle w:val="Heading1Char"/>
          <w:noProof/>
        </w:rPr>
        <w:t>1</w:t>
      </w:r>
      <w:r w:rsidR="00381268" w:rsidRPr="00381268">
        <w:rPr>
          <w:rStyle w:val="Heading1Char"/>
        </w:rPr>
        <w:fldChar w:fldCharType="end"/>
      </w:r>
      <w:r w:rsidR="00B90897">
        <w:rPr>
          <w:rStyle w:val="Heading1Char"/>
        </w:rPr>
        <w:t>.</w:t>
      </w:r>
      <w:r w:rsidR="001C12F5" w:rsidRPr="00381268">
        <w:rPr>
          <w:rStyle w:val="Heading1Char"/>
        </w:rPr>
        <w:t xml:space="preserve"> </w:t>
      </w:r>
      <w:r w:rsidR="00B90897">
        <w:rPr>
          <w:rStyle w:val="Heading1Char"/>
        </w:rPr>
        <w:t xml:space="preserve"> </w:t>
      </w:r>
      <w:r w:rsidR="001C12F5" w:rsidRPr="00B90897">
        <w:rPr>
          <w:rStyle w:val="Heading1Char"/>
          <w:b w:val="0"/>
        </w:rPr>
        <w:t>Mailable</w:t>
      </w:r>
      <w:r w:rsidR="005B0DB8" w:rsidRPr="00B90897">
        <w:rPr>
          <w:rStyle w:val="Heading1Char"/>
          <w:b w:val="0"/>
        </w:rPr>
        <w:t xml:space="preserve"> kit for self-collection of saliva.</w:t>
      </w:r>
      <w:bookmarkEnd w:id="0"/>
      <w:r w:rsidR="005B0DB8">
        <w:t xml:space="preserve">  (A) The saliva collection kit consisted of a microcentrifuge tube, O-ring screwtop cap, and saliva collection aid (SCA) placed inside a sealable biohazard bag containing an absorbent material.  The kit components were packaged in the same way as they were to be returned into the bag by the </w:t>
      </w:r>
      <w:r w:rsidR="009406E1">
        <w:t>study participant</w:t>
      </w:r>
      <w:r w:rsidR="005B0DB8">
        <w:t>.  (B) The kit was placed inside of a peel-and-seal cardboard mailer displaying a UN3373 category B lab</w:t>
      </w:r>
      <w:r w:rsidR="009406E1">
        <w:t>el.  For mailing packages</w:t>
      </w:r>
      <w:r w:rsidR="007716F4">
        <w:t xml:space="preserve"> to study participants</w:t>
      </w:r>
      <w:r w:rsidR="009406E1">
        <w:t>, the kit was packed in a Tyvek envelope that accommodated printed instructions, survey, and consent form.</w:t>
      </w:r>
      <w:bookmarkEnd w:id="1"/>
      <w:r w:rsidR="009406E1">
        <w:t xml:space="preserve"> </w:t>
      </w:r>
      <w:r w:rsidR="006D466D">
        <w:t>Saliva is collected into a microcentrifuge tube (C), which the participants enclose in a biohazard bag (D) and cardboard box (E) prior to mailing back to the laboratory.</w:t>
      </w:r>
    </w:p>
    <w:p w14:paraId="72FEF98B" w14:textId="77777777" w:rsidR="00683B52" w:rsidRDefault="00683B52" w:rsidP="005F6BD6">
      <w:pPr>
        <w:rPr>
          <w:i/>
          <w:iCs/>
          <w:color w:val="44546A" w:themeColor="text2"/>
          <w:sz w:val="18"/>
          <w:szCs w:val="18"/>
        </w:rPr>
      </w:pPr>
      <w:r>
        <w:br w:type="page"/>
      </w:r>
    </w:p>
    <w:p w14:paraId="0C4F0FAA" w14:textId="77777777" w:rsidR="00381268" w:rsidRDefault="009E2FE8" w:rsidP="00381268">
      <w:pPr>
        <w:keepNext/>
        <w:jc w:val="center"/>
      </w:pPr>
      <w:r>
        <w:rPr>
          <w:noProof/>
        </w:rPr>
        <w:lastRenderedPageBreak/>
        <w:drawing>
          <wp:inline distT="0" distB="0" distL="0" distR="0" wp14:anchorId="784398CA" wp14:editId="68CF01E6">
            <wp:extent cx="5016813" cy="3429000"/>
            <wp:effectExtent l="0" t="0" r="0" b="0"/>
            <wp:docPr id="11" name="slope 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ope table.png"/>
                    <pic:cNvPicPr/>
                  </pic:nvPicPr>
                  <pic:blipFill rotWithShape="1">
                    <a:blip r:embed="rId12">
                      <a:extLst>
                        <a:ext uri="{28A0092B-C50C-407E-A947-70E740481C1C}">
                          <a14:useLocalDpi xmlns:a14="http://schemas.microsoft.com/office/drawing/2010/main" val="0"/>
                        </a:ext>
                      </a:extLst>
                    </a:blip>
                    <a:srcRect l="25801" r="26602" b="56624"/>
                    <a:stretch>
                      <a:fillRect/>
                    </a:stretch>
                  </pic:blipFill>
                  <pic:spPr bwMode="auto">
                    <a:xfrm>
                      <a:off x="0" y="0"/>
                      <a:ext cx="5027705" cy="3436444"/>
                    </a:xfrm>
                    <a:prstGeom prst="rect">
                      <a:avLst/>
                    </a:prstGeom>
                    <a:ln>
                      <a:noFill/>
                    </a:ln>
                    <a:extLst>
                      <a:ext uri="{53640926-AAD7-44D8-BBD7-CCE9431645EC}">
                        <a14:shadowObscured xmlns:a14="http://schemas.microsoft.com/office/drawing/2010/main"/>
                      </a:ext>
                    </a:extLst>
                  </pic:spPr>
                </pic:pic>
              </a:graphicData>
            </a:graphic>
          </wp:inline>
        </w:drawing>
      </w:r>
    </w:p>
    <w:p w14:paraId="4B26C764" w14:textId="567D21EE" w:rsidR="00683B52" w:rsidRDefault="002A1DF5" w:rsidP="00381268">
      <w:bookmarkStart w:id="2" w:name="_Toc72940011"/>
      <w:bookmarkStart w:id="3" w:name="_Toc62734065"/>
      <w:r>
        <w:rPr>
          <w:rStyle w:val="Heading1Char"/>
        </w:rPr>
        <w:t>Supplementary</w:t>
      </w:r>
      <w:r w:rsidR="00357D42" w:rsidRPr="00381268">
        <w:rPr>
          <w:rStyle w:val="Heading1Char"/>
        </w:rPr>
        <w:t xml:space="preserve"> </w:t>
      </w:r>
      <w:r w:rsidR="00381268" w:rsidRPr="00381268">
        <w:rPr>
          <w:rStyle w:val="Heading1Char"/>
        </w:rPr>
        <w:t xml:space="preserve">Table </w:t>
      </w:r>
      <w:r w:rsidR="00381268" w:rsidRPr="00381268">
        <w:rPr>
          <w:rStyle w:val="Heading1Char"/>
        </w:rPr>
        <w:fldChar w:fldCharType="begin"/>
      </w:r>
      <w:r w:rsidR="00381268" w:rsidRPr="00381268">
        <w:rPr>
          <w:rStyle w:val="Heading1Char"/>
        </w:rPr>
        <w:instrText xml:space="preserve"> SEQ Table \* ARABIC </w:instrText>
      </w:r>
      <w:r w:rsidR="00381268" w:rsidRPr="00381268">
        <w:rPr>
          <w:rStyle w:val="Heading1Char"/>
        </w:rPr>
        <w:fldChar w:fldCharType="separate"/>
      </w:r>
      <w:r w:rsidR="00381268">
        <w:rPr>
          <w:rStyle w:val="Heading1Char"/>
          <w:noProof/>
        </w:rPr>
        <w:t>1</w:t>
      </w:r>
      <w:r w:rsidR="00381268" w:rsidRPr="00381268">
        <w:rPr>
          <w:rStyle w:val="Heading1Char"/>
        </w:rPr>
        <w:fldChar w:fldCharType="end"/>
      </w:r>
      <w:r w:rsidR="00B90897">
        <w:rPr>
          <w:rStyle w:val="Heading1Char"/>
        </w:rPr>
        <w:t xml:space="preserve">.  </w:t>
      </w:r>
      <w:r w:rsidR="00683B52" w:rsidRPr="00B90897">
        <w:rPr>
          <w:rStyle w:val="Heading1Char"/>
          <w:b w:val="0"/>
        </w:rPr>
        <w:t>Average daily percent declines in salivary IgG antibodies stored at +27° C.</w:t>
      </w:r>
      <w:bookmarkEnd w:id="2"/>
      <w:r w:rsidR="00683B52" w:rsidRPr="00381268">
        <w:rPr>
          <w:rStyle w:val="Heading1Char"/>
        </w:rPr>
        <w:t xml:space="preserve"> </w:t>
      </w:r>
      <w:r w:rsidR="00683B52" w:rsidRPr="005F6BD6">
        <w:rPr>
          <w:rStyle w:val="Heading1Char"/>
        </w:rPr>
        <w:t xml:space="preserve">  </w:t>
      </w:r>
      <w:r w:rsidR="00683B52">
        <w:t>Fresh saliva from five donors was aliquoted and incubated at +27° C for 0-</w:t>
      </w:r>
      <w:r w:rsidR="00236BE8">
        <w:t>6</w:t>
      </w:r>
      <w:r w:rsidR="00683B52">
        <w:t xml:space="preserve"> days.  Aliquots were transferred daily to a refrigerator and stored at +4° C until testing on day 6.  The average daily percent decline </w:t>
      </w:r>
      <w:r w:rsidR="00236BE8">
        <w:t xml:space="preserve">over the first 5 days </w:t>
      </w:r>
      <w:r w:rsidR="00683B52">
        <w:t>was computed based on the slope of a linear regression line passed through the data points shown in Figure 1 of the main text.  The column on the right is the average percent decline for the five donors.  Overall, salivary IgG concentrations declined between 1%-2% daily over the first five days</w:t>
      </w:r>
      <w:r w:rsidR="005636B7">
        <w:t xml:space="preserve"> post-aliquoting</w:t>
      </w:r>
      <w:r w:rsidR="00683B52">
        <w:t>.</w:t>
      </w:r>
      <w:bookmarkEnd w:id="3"/>
      <w:r w:rsidR="00236BE8">
        <w:t xml:space="preserve">  For one donor, the aliquot stored for 6 days at +27° C had lower levels of antibodies than in aliquots stored +27° C for 5 or fewer days.</w:t>
      </w:r>
    </w:p>
    <w:p w14:paraId="69DFC8E1" w14:textId="522510B6" w:rsidR="0027398F" w:rsidRDefault="0027398F" w:rsidP="005F6BD6"/>
    <w:p w14:paraId="492A55AD" w14:textId="77777777" w:rsidR="001C6C10" w:rsidRDefault="001C6C10" w:rsidP="005F6BD6"/>
    <w:p w14:paraId="7825A3F0" w14:textId="77777777" w:rsidR="001C6C10" w:rsidRDefault="001C6C10" w:rsidP="005F6BD6">
      <w:r>
        <w:br w:type="page"/>
      </w:r>
    </w:p>
    <w:p w14:paraId="570F2313" w14:textId="77777777" w:rsidR="00F93383" w:rsidRDefault="00F93383" w:rsidP="005F6BD6"/>
    <w:p w14:paraId="072DF830" w14:textId="77777777" w:rsidR="00381268" w:rsidRDefault="00F93383" w:rsidP="00381268">
      <w:pPr>
        <w:keepNext/>
        <w:jc w:val="center"/>
      </w:pPr>
      <w:r>
        <w:rPr>
          <w:noProof/>
        </w:rPr>
        <w:drawing>
          <wp:inline distT="0" distB="0" distL="0" distR="0" wp14:anchorId="13D5A09A" wp14:editId="3FEA7F54">
            <wp:extent cx="5943600" cy="3667760"/>
            <wp:effectExtent l="0" t="0" r="0" b="8890"/>
            <wp:docPr id="1" name="Refrigerated saliva stabili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frigerated saliva stabilit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6B1357E6" w14:textId="07ABD313" w:rsidR="006F2EA1" w:rsidRDefault="002A1DF5" w:rsidP="00381268">
      <w:bookmarkStart w:id="4" w:name="_Toc72940012"/>
      <w:bookmarkStart w:id="5" w:name="_Toc62734086"/>
      <w:r>
        <w:rPr>
          <w:rStyle w:val="Heading1Char"/>
        </w:rPr>
        <w:t>Supplementary</w:t>
      </w:r>
      <w:r w:rsidR="00357D42" w:rsidRPr="00381268">
        <w:rPr>
          <w:rStyle w:val="Heading1Char"/>
        </w:rPr>
        <w:t xml:space="preserve"> </w:t>
      </w:r>
      <w:r w:rsidR="00381268" w:rsidRPr="00381268">
        <w:rPr>
          <w:rStyle w:val="Heading1Char"/>
        </w:rPr>
        <w:t xml:space="preserve">Figure </w:t>
      </w:r>
      <w:r w:rsidR="00381268" w:rsidRPr="00381268">
        <w:rPr>
          <w:rStyle w:val="Heading1Char"/>
        </w:rPr>
        <w:fldChar w:fldCharType="begin"/>
      </w:r>
      <w:r w:rsidR="00381268" w:rsidRPr="00381268">
        <w:rPr>
          <w:rStyle w:val="Heading1Char"/>
        </w:rPr>
        <w:instrText xml:space="preserve"> SEQ Figure \* ARABIC </w:instrText>
      </w:r>
      <w:r w:rsidR="00381268" w:rsidRPr="00381268">
        <w:rPr>
          <w:rStyle w:val="Heading1Char"/>
        </w:rPr>
        <w:fldChar w:fldCharType="separate"/>
      </w:r>
      <w:r w:rsidR="00381268">
        <w:rPr>
          <w:rStyle w:val="Heading1Char"/>
          <w:noProof/>
        </w:rPr>
        <w:t>2</w:t>
      </w:r>
      <w:r w:rsidR="00381268" w:rsidRPr="00381268">
        <w:rPr>
          <w:rStyle w:val="Heading1Char"/>
        </w:rPr>
        <w:fldChar w:fldCharType="end"/>
      </w:r>
      <w:r w:rsidR="00B90897">
        <w:rPr>
          <w:rStyle w:val="Heading1Char"/>
        </w:rPr>
        <w:t xml:space="preserve">.  </w:t>
      </w:r>
      <w:r w:rsidR="00730946" w:rsidRPr="00B90897">
        <w:rPr>
          <w:rStyle w:val="Heading1Char"/>
          <w:b w:val="0"/>
        </w:rPr>
        <w:t>Stability</w:t>
      </w:r>
      <w:r w:rsidR="00B05FC3" w:rsidRPr="00B90897">
        <w:rPr>
          <w:rStyle w:val="Heading1Char"/>
          <w:b w:val="0"/>
        </w:rPr>
        <w:t xml:space="preserve"> of refrigerated saliva.</w:t>
      </w:r>
      <w:bookmarkEnd w:id="4"/>
      <w:r w:rsidR="00B05FC3" w:rsidRPr="00B05FC3">
        <w:t xml:space="preserve">  Five donors provided self-collected saliva.  For each donor, one aliquot was</w:t>
      </w:r>
      <w:r w:rsidR="00B05FC3">
        <w:t xml:space="preserve"> frozen promptly at &lt;-70</w:t>
      </w:r>
      <w:r w:rsidR="00B05FC3" w:rsidRPr="00B05FC3">
        <w:t>° C, and 6 aliquots we</w:t>
      </w:r>
      <w:r w:rsidR="00B05FC3">
        <w:t>re refrigerated at +4</w:t>
      </w:r>
      <w:r w:rsidR="00B05FC3" w:rsidRPr="00B05FC3">
        <w:t xml:space="preserve">° C.  An aliquot </w:t>
      </w:r>
      <w:r w:rsidR="00B05FC3">
        <w:t>of saliva was transferred from the +4</w:t>
      </w:r>
      <w:r w:rsidR="00B05FC3" w:rsidRPr="00B05FC3">
        <w:t xml:space="preserve">° C </w:t>
      </w:r>
      <w:r w:rsidR="00B05FC3">
        <w:t>refrigerator to the &lt;-70</w:t>
      </w:r>
      <w:r w:rsidR="00B05FC3" w:rsidRPr="00B05FC3">
        <w:t>° C</w:t>
      </w:r>
      <w:r w:rsidR="00B05FC3">
        <w:t xml:space="preserve"> freezer</w:t>
      </w:r>
      <w:r w:rsidR="00B05FC3" w:rsidRPr="00B05FC3">
        <w:t xml:space="preserve"> daily for 6 days.  (A-D) At the end of 6 days, samples were assayed for levels of IgG antibodies to the spike proteins of the four circulating coronaviruses.  (E) Only Donor B had detectable IgG antibodies for CoV-2 N and Spike proteins.  Overall, prolonged </w:t>
      </w:r>
      <w:r w:rsidR="00B05FC3">
        <w:t xml:space="preserve">refrigeration </w:t>
      </w:r>
      <w:r w:rsidR="00B05FC3" w:rsidRPr="00B05FC3">
        <w:t>did not significantly alter antibody measurements</w:t>
      </w:r>
      <w:r w:rsidR="00B05FC3">
        <w:t xml:space="preserve"> compared to freezing.</w:t>
      </w:r>
      <w:bookmarkEnd w:id="5"/>
    </w:p>
    <w:p w14:paraId="072AC8FC" w14:textId="77777777" w:rsidR="006F2EA1" w:rsidRDefault="006F2EA1">
      <w:r>
        <w:br w:type="page"/>
      </w:r>
    </w:p>
    <w:p w14:paraId="1D623251" w14:textId="77777777" w:rsidR="006F2EA1" w:rsidRDefault="006F2EA1" w:rsidP="006F2EA1">
      <w:pPr>
        <w:keepNext/>
        <w:jc w:val="center"/>
      </w:pPr>
      <w:r>
        <w:rPr>
          <w:noProof/>
        </w:rPr>
        <w:lastRenderedPageBreak/>
        <w:drawing>
          <wp:inline distT="0" distB="0" distL="0" distR="0" wp14:anchorId="33306311" wp14:editId="07402C47">
            <wp:extent cx="6400813" cy="433372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reeze saliva stabilit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00813" cy="4333721"/>
                    </a:xfrm>
                    <a:prstGeom prst="rect">
                      <a:avLst/>
                    </a:prstGeom>
                  </pic:spPr>
                </pic:pic>
              </a:graphicData>
            </a:graphic>
          </wp:inline>
        </w:drawing>
      </w:r>
    </w:p>
    <w:p w14:paraId="5B30FFED" w14:textId="7973225E" w:rsidR="006F2EA1" w:rsidRPr="006F2EA1" w:rsidRDefault="006F2EA1" w:rsidP="006F2EA1">
      <w:bookmarkStart w:id="6" w:name="_Toc72940013"/>
      <w:r w:rsidRPr="006F2EA1">
        <w:rPr>
          <w:rStyle w:val="Heading1Char"/>
        </w:rPr>
        <w:t xml:space="preserve">Supplement Figure </w:t>
      </w:r>
      <w:r w:rsidRPr="006F2EA1">
        <w:rPr>
          <w:rStyle w:val="Heading1Char"/>
        </w:rPr>
        <w:fldChar w:fldCharType="begin"/>
      </w:r>
      <w:r w:rsidRPr="006F2EA1">
        <w:rPr>
          <w:rStyle w:val="Heading1Char"/>
        </w:rPr>
        <w:instrText xml:space="preserve"> SEQ Figure \* ARABIC </w:instrText>
      </w:r>
      <w:r w:rsidRPr="006F2EA1">
        <w:rPr>
          <w:rStyle w:val="Heading1Char"/>
        </w:rPr>
        <w:fldChar w:fldCharType="separate"/>
      </w:r>
      <w:r w:rsidR="00381268">
        <w:rPr>
          <w:rStyle w:val="Heading1Char"/>
          <w:noProof/>
        </w:rPr>
        <w:t>3</w:t>
      </w:r>
      <w:r w:rsidRPr="006F2EA1">
        <w:rPr>
          <w:rStyle w:val="Heading1Char"/>
        </w:rPr>
        <w:fldChar w:fldCharType="end"/>
      </w:r>
      <w:r w:rsidR="00B90897">
        <w:rPr>
          <w:rStyle w:val="Heading1Char"/>
        </w:rPr>
        <w:t xml:space="preserve">.  </w:t>
      </w:r>
      <w:r w:rsidRPr="00B90897">
        <w:rPr>
          <w:rStyle w:val="Heading1Char"/>
          <w:b w:val="0"/>
        </w:rPr>
        <w:t>Robustness to repeated freeze thaws.</w:t>
      </w:r>
      <w:bookmarkEnd w:id="6"/>
      <w:r w:rsidRPr="006F2EA1">
        <w:t xml:space="preserve"> </w:t>
      </w:r>
      <w:r>
        <w:t>Aliquots of s</w:t>
      </w:r>
      <w:r w:rsidRPr="006F2EA1">
        <w:t>elf-collected saliva</w:t>
      </w:r>
      <w:r>
        <w:t xml:space="preserve"> from 5 donors </w:t>
      </w:r>
      <w:r w:rsidR="00D96A3D">
        <w:t xml:space="preserve">were </w:t>
      </w:r>
      <w:r>
        <w:t xml:space="preserve">subjected to 1, 3, or 5 freeze-thaw cycles.  </w:t>
      </w:r>
      <w:r w:rsidRPr="006F2EA1">
        <w:t>(</w:t>
      </w:r>
      <w:r w:rsidR="0010450E">
        <w:t>a</w:t>
      </w:r>
      <w:r w:rsidRPr="006F2EA1">
        <w:t>-</w:t>
      </w:r>
      <w:r w:rsidR="0010450E">
        <w:t>d</w:t>
      </w:r>
      <w:r w:rsidRPr="006F2EA1">
        <w:t xml:space="preserve">) </w:t>
      </w:r>
      <w:r>
        <w:t>S</w:t>
      </w:r>
      <w:r w:rsidRPr="006F2EA1">
        <w:t>amples were assayed for levels of IgG antibodies to the spike proteins of the four circulating coronaviruses.  (</w:t>
      </w:r>
      <w:r w:rsidR="0010450E">
        <w:t>e</w:t>
      </w:r>
      <w:r w:rsidRPr="006F2EA1">
        <w:t>) Only Donor B had detectable IgG antibodies for CoV-2 N and Spike proteins</w:t>
      </w:r>
      <w:bookmarkStart w:id="7" w:name="_GoBack"/>
      <w:bookmarkEnd w:id="7"/>
      <w:r w:rsidRPr="006F2EA1">
        <w:t xml:space="preserve">.  Overall, </w:t>
      </w:r>
      <w:r>
        <w:t>repeated freeze thaws</w:t>
      </w:r>
      <w:r w:rsidRPr="006F2EA1">
        <w:t xml:space="preserve"> did not significant</w:t>
      </w:r>
      <w:r>
        <w:t>ly alter antibody measurements</w:t>
      </w:r>
      <w:r w:rsidRPr="006F2EA1">
        <w:t>.</w:t>
      </w:r>
    </w:p>
    <w:p w14:paraId="4159E9CF" w14:textId="36ACC72F" w:rsidR="0053023D" w:rsidRDefault="0053023D" w:rsidP="006F2EA1">
      <w:pPr>
        <w:jc w:val="center"/>
      </w:pPr>
    </w:p>
    <w:p w14:paraId="457A7782" w14:textId="77777777" w:rsidR="0053023D" w:rsidRDefault="0053023D">
      <w:r>
        <w:br w:type="page"/>
      </w:r>
    </w:p>
    <w:p w14:paraId="6B1256DB" w14:textId="77777777" w:rsidR="0053023D" w:rsidRDefault="0053023D" w:rsidP="0053023D">
      <w:pPr>
        <w:keepNext/>
        <w:jc w:val="center"/>
      </w:pPr>
      <w:r>
        <w:rPr>
          <w:noProof/>
        </w:rPr>
        <w:lastRenderedPageBreak/>
        <w:drawing>
          <wp:inline distT="0" distB="0" distL="0" distR="0" wp14:anchorId="0C3CE314" wp14:editId="1DD9CD21">
            <wp:extent cx="5568696" cy="1828800"/>
            <wp:effectExtent l="0" t="0" r="0" b="0"/>
            <wp:docPr id="3" name="Total Immunoglobulin Summary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tal Immunoglobulin Summary Figure.png"/>
                    <pic:cNvPicPr/>
                  </pic:nvPicPr>
                  <pic:blipFill rotWithShape="1">
                    <a:blip r:embed="rId15" r:link="rId16" cstate="print">
                      <a:extLst>
                        <a:ext uri="{28A0092B-C50C-407E-A947-70E740481C1C}">
                          <a14:useLocalDpi xmlns:a14="http://schemas.microsoft.com/office/drawing/2010/main" val="0"/>
                        </a:ext>
                      </a:extLst>
                    </a:blip>
                    <a:srcRect l="18530" r="18739"/>
                    <a:stretch>
                      <a:fillRect/>
                    </a:stretch>
                  </pic:blipFill>
                  <pic:spPr bwMode="auto">
                    <a:xfrm>
                      <a:off x="0" y="0"/>
                      <a:ext cx="5568696" cy="1828800"/>
                    </a:xfrm>
                    <a:prstGeom prst="rect">
                      <a:avLst/>
                    </a:prstGeom>
                    <a:ln>
                      <a:noFill/>
                    </a:ln>
                    <a:extLst>
                      <a:ext uri="{53640926-AAD7-44D8-BBD7-CCE9431645EC}">
                        <a14:shadowObscured xmlns:a14="http://schemas.microsoft.com/office/drawing/2010/main"/>
                      </a:ext>
                    </a:extLst>
                  </pic:spPr>
                </pic:pic>
              </a:graphicData>
            </a:graphic>
          </wp:inline>
        </w:drawing>
      </w:r>
    </w:p>
    <w:p w14:paraId="399B0C8A" w14:textId="3C137E3F" w:rsidR="0053023D" w:rsidRDefault="002A1DF5" w:rsidP="0053023D">
      <w:bookmarkStart w:id="8" w:name="_Toc72940014"/>
      <w:r>
        <w:rPr>
          <w:rStyle w:val="Heading1Char"/>
        </w:rPr>
        <w:t>Supplementary</w:t>
      </w:r>
      <w:r w:rsidR="00357D42" w:rsidRPr="00B3401F">
        <w:rPr>
          <w:rStyle w:val="Heading1Char"/>
        </w:rPr>
        <w:t xml:space="preserve"> </w:t>
      </w:r>
      <w:r w:rsidR="0053023D" w:rsidRPr="00B3401F">
        <w:rPr>
          <w:rStyle w:val="Heading1Char"/>
        </w:rPr>
        <w:t xml:space="preserve">Figure </w:t>
      </w:r>
      <w:r w:rsidR="0053023D" w:rsidRPr="00B3401F">
        <w:rPr>
          <w:rStyle w:val="Heading1Char"/>
        </w:rPr>
        <w:fldChar w:fldCharType="begin"/>
      </w:r>
      <w:r w:rsidR="0053023D" w:rsidRPr="00B3401F">
        <w:rPr>
          <w:rStyle w:val="Heading1Char"/>
        </w:rPr>
        <w:instrText xml:space="preserve"> SEQ Figure \* ARABIC </w:instrText>
      </w:r>
      <w:r w:rsidR="0053023D" w:rsidRPr="00B3401F">
        <w:rPr>
          <w:rStyle w:val="Heading1Char"/>
        </w:rPr>
        <w:fldChar w:fldCharType="separate"/>
      </w:r>
      <w:r w:rsidR="00381268">
        <w:rPr>
          <w:rStyle w:val="Heading1Char"/>
          <w:noProof/>
        </w:rPr>
        <w:t>4</w:t>
      </w:r>
      <w:r w:rsidR="0053023D" w:rsidRPr="00B3401F">
        <w:rPr>
          <w:rStyle w:val="Heading1Char"/>
        </w:rPr>
        <w:fldChar w:fldCharType="end"/>
      </w:r>
      <w:r w:rsidR="00B90897">
        <w:rPr>
          <w:rStyle w:val="Heading1Char"/>
        </w:rPr>
        <w:t xml:space="preserve">.  </w:t>
      </w:r>
      <w:r w:rsidR="0053023D" w:rsidRPr="00B90897">
        <w:rPr>
          <w:rStyle w:val="Heading1Char"/>
          <w:b w:val="0"/>
        </w:rPr>
        <w:t>Total immunoglobulin levels measured in finger-stick blood and saliva.</w:t>
      </w:r>
      <w:bookmarkEnd w:id="8"/>
      <w:r w:rsidR="0053023D">
        <w:t xml:space="preserve">  Finger-stick blood was self-collected via the Mitra device and then reconstituted into diluent.  Saliva was self-collected into 2 mL centrifuge tubes using the Saliva Collection Aid (SCA).  Plots show the distribution of total immunoglobulin levels measured using Isotyping Panel 1 Human/NHP Kit.  Bars indicate median concentrations.</w:t>
      </w:r>
    </w:p>
    <w:p w14:paraId="1A746E07" w14:textId="77777777" w:rsidR="00206389" w:rsidRDefault="00206389" w:rsidP="005F6BD6"/>
    <w:p w14:paraId="601FF515" w14:textId="77777777" w:rsidR="00206389" w:rsidRDefault="00206389" w:rsidP="005F6BD6">
      <w:pPr>
        <w:rPr>
          <w:i/>
          <w:iCs/>
          <w:color w:val="44546A" w:themeColor="text2"/>
          <w:sz w:val="18"/>
          <w:szCs w:val="18"/>
        </w:rPr>
      </w:pPr>
      <w:r>
        <w:br w:type="page"/>
      </w:r>
    </w:p>
    <w:p w14:paraId="369D6CFE" w14:textId="354BE748" w:rsidR="007C0867" w:rsidRDefault="004D34DC" w:rsidP="00772286">
      <w:pPr>
        <w:jc w:val="center"/>
      </w:pPr>
      <w:r>
        <w:rPr>
          <w:noProof/>
        </w:rPr>
        <w:lastRenderedPageBreak/>
        <w:drawing>
          <wp:inline distT="0" distB="0" distL="0" distR="0" wp14:anchorId="3BF4791E" wp14:editId="646DE71D">
            <wp:extent cx="4572000" cy="4000500"/>
            <wp:effectExtent l="0" t="0" r="0" b="0"/>
            <wp:docPr id="10" name="Detectability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tectability Map.png"/>
                    <pic:cNvPicPr/>
                  </pic:nvPicPr>
                  <pic:blipFill rotWithShape="1">
                    <a:blip r:embed="rId17">
                      <a:extLst>
                        <a:ext uri="{28A0092B-C50C-407E-A947-70E740481C1C}">
                          <a14:useLocalDpi xmlns:a14="http://schemas.microsoft.com/office/drawing/2010/main" val="0"/>
                        </a:ext>
                      </a:extLst>
                    </a:blip>
                    <a:srcRect b="12500"/>
                    <a:stretch>
                      <a:fillRect/>
                    </a:stretch>
                  </pic:blipFill>
                  <pic:spPr bwMode="auto">
                    <a:xfrm>
                      <a:off x="0" y="0"/>
                      <a:ext cx="4572000" cy="4000500"/>
                    </a:xfrm>
                    <a:prstGeom prst="rect">
                      <a:avLst/>
                    </a:prstGeom>
                    <a:ln>
                      <a:noFill/>
                    </a:ln>
                    <a:extLst>
                      <a:ext uri="{53640926-AAD7-44D8-BBD7-CCE9431645EC}">
                        <a14:shadowObscured xmlns:a14="http://schemas.microsoft.com/office/drawing/2010/main"/>
                      </a:ext>
                    </a:extLst>
                  </pic:spPr>
                </pic:pic>
              </a:graphicData>
            </a:graphic>
          </wp:inline>
        </w:drawing>
      </w:r>
    </w:p>
    <w:p w14:paraId="009C59AD" w14:textId="1A1BBCD2" w:rsidR="00F05915" w:rsidRDefault="002A1DF5" w:rsidP="004D34DC">
      <w:pPr>
        <w:ind w:left="720"/>
        <w:sectPr w:rsidR="00F05915" w:rsidSect="00F05915">
          <w:footerReference w:type="default" r:id="rId18"/>
          <w:pgSz w:w="12240" w:h="15840"/>
          <w:pgMar w:top="720" w:right="720" w:bottom="720" w:left="720" w:header="720" w:footer="720" w:gutter="0"/>
          <w:cols w:space="720"/>
          <w:docGrid w:linePitch="360"/>
        </w:sectPr>
      </w:pPr>
      <w:bookmarkStart w:id="9" w:name="_Toc72940015"/>
      <w:bookmarkStart w:id="10" w:name="_Toc62734087"/>
      <w:r>
        <w:rPr>
          <w:rStyle w:val="Heading1Char"/>
        </w:rPr>
        <w:t>Supplementary</w:t>
      </w:r>
      <w:r w:rsidR="00357D42">
        <w:rPr>
          <w:rStyle w:val="Heading1Char"/>
        </w:rPr>
        <w:t xml:space="preserve"> </w:t>
      </w:r>
      <w:r w:rsidR="007C0867" w:rsidRPr="005F6BD6">
        <w:rPr>
          <w:rStyle w:val="Heading1Char"/>
        </w:rPr>
        <w:t xml:space="preserve">Figure </w:t>
      </w:r>
      <w:r w:rsidR="007C0867" w:rsidRPr="005F6BD6">
        <w:rPr>
          <w:rStyle w:val="Heading1Char"/>
        </w:rPr>
        <w:fldChar w:fldCharType="begin"/>
      </w:r>
      <w:r w:rsidR="007C0867" w:rsidRPr="005F6BD6">
        <w:rPr>
          <w:rStyle w:val="Heading1Char"/>
        </w:rPr>
        <w:instrText xml:space="preserve"> SEQ Figure \* ARABIC </w:instrText>
      </w:r>
      <w:r w:rsidR="007C0867" w:rsidRPr="005F6BD6">
        <w:rPr>
          <w:rStyle w:val="Heading1Char"/>
        </w:rPr>
        <w:fldChar w:fldCharType="separate"/>
      </w:r>
      <w:r w:rsidR="00381268">
        <w:rPr>
          <w:rStyle w:val="Heading1Char"/>
          <w:noProof/>
        </w:rPr>
        <w:t>5</w:t>
      </w:r>
      <w:r w:rsidR="007C0867" w:rsidRPr="005F6BD6">
        <w:rPr>
          <w:rStyle w:val="Heading1Char"/>
        </w:rPr>
        <w:fldChar w:fldCharType="end"/>
      </w:r>
      <w:r w:rsidR="00B90897">
        <w:rPr>
          <w:rStyle w:val="Heading1Char"/>
        </w:rPr>
        <w:t xml:space="preserve">.  </w:t>
      </w:r>
      <w:r w:rsidR="007C0867" w:rsidRPr="00B90897">
        <w:rPr>
          <w:rStyle w:val="Heading1Char"/>
          <w:b w:val="0"/>
        </w:rPr>
        <w:t>IgG antibodies to endemic coronaviruses in self-collected saliva</w:t>
      </w:r>
      <w:r w:rsidR="004D34DC" w:rsidRPr="00B90897">
        <w:rPr>
          <w:rStyle w:val="Heading1Char"/>
          <w:b w:val="0"/>
        </w:rPr>
        <w:t>.</w:t>
      </w:r>
      <w:bookmarkEnd w:id="9"/>
      <w:r w:rsidR="004D34DC">
        <w:rPr>
          <w:rStyle w:val="Heading1Char"/>
        </w:rPr>
        <w:t xml:space="preserve">  </w:t>
      </w:r>
      <w:r w:rsidR="004D34DC">
        <w:t>I</w:t>
      </w:r>
      <w:r w:rsidR="007C0867">
        <w:t xml:space="preserve">gG antibodies to four circulating coronaviruses were readily detected in self-collected saliva.  </w:t>
      </w:r>
      <w:r w:rsidR="00BB7C50">
        <w:t>Except for two excluded samples that did not have detectable IgG, IgA, or IgM, a</w:t>
      </w:r>
      <w:r w:rsidR="007C0867">
        <w:t xml:space="preserve">ll samples contained </w:t>
      </w:r>
      <w:r w:rsidR="004D34DC">
        <w:t xml:space="preserve">readily </w:t>
      </w:r>
      <w:r w:rsidR="007C0867">
        <w:t xml:space="preserve">detectable </w:t>
      </w:r>
      <w:r w:rsidR="004D34DC">
        <w:t>antibodies for at least one circulating coronavirus.</w:t>
      </w:r>
      <w:r w:rsidR="007C0867">
        <w:t xml:space="preserve">  </w:t>
      </w:r>
      <w:r w:rsidR="004D34DC">
        <w:t xml:space="preserve">Rows correspond to individual saliva samples </w:t>
      </w:r>
      <w:r w:rsidR="0010450E">
        <w:t xml:space="preserve">that </w:t>
      </w:r>
      <w:r w:rsidR="004D34DC">
        <w:t xml:space="preserve">were tested for IgG antibodies to the four circulating coronaviruses indicated by the columns.  Samples with readily detectable antibodies generating &gt;20,000 counts are colored blue.  Samples generating lower signals are colored grey. </w:t>
      </w:r>
    </w:p>
    <w:p w14:paraId="54303870" w14:textId="77777777" w:rsidR="00F05915" w:rsidRDefault="00F05915">
      <w:pPr>
        <w:rPr>
          <w:noProof/>
        </w:rPr>
      </w:pPr>
    </w:p>
    <w:p w14:paraId="337D2C36" w14:textId="77777777" w:rsidR="00F05915" w:rsidRDefault="00F05915" w:rsidP="00F05915">
      <w:pPr>
        <w:keepNext/>
      </w:pPr>
      <w:r>
        <w:rPr>
          <w:noProof/>
        </w:rPr>
        <w:drawing>
          <wp:inline distT="0" distB="0" distL="0" distR="0" wp14:anchorId="21D5E7C3" wp14:editId="19AB8617">
            <wp:extent cx="9145282" cy="3981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irculating CoV serology dotplot.png"/>
                    <pic:cNvPicPr/>
                  </pic:nvPicPr>
                  <pic:blipFill rotWithShape="1">
                    <a:blip r:embed="rId19" cstate="print">
                      <a:extLst>
                        <a:ext uri="{28A0092B-C50C-407E-A947-70E740481C1C}">
                          <a14:useLocalDpi xmlns:a14="http://schemas.microsoft.com/office/drawing/2010/main" val="0"/>
                        </a:ext>
                      </a:extLst>
                    </a:blip>
                    <a:srcRect l="13889" r="15139"/>
                    <a:stretch/>
                  </pic:blipFill>
                  <pic:spPr bwMode="auto">
                    <a:xfrm>
                      <a:off x="0" y="0"/>
                      <a:ext cx="9157200" cy="3986639"/>
                    </a:xfrm>
                    <a:prstGeom prst="rect">
                      <a:avLst/>
                    </a:prstGeom>
                    <a:ln>
                      <a:noFill/>
                    </a:ln>
                    <a:extLst>
                      <a:ext uri="{53640926-AAD7-44D8-BBD7-CCE9431645EC}">
                        <a14:shadowObscured xmlns:a14="http://schemas.microsoft.com/office/drawing/2010/main"/>
                      </a:ext>
                    </a:extLst>
                  </pic:spPr>
                </pic:pic>
              </a:graphicData>
            </a:graphic>
          </wp:inline>
        </w:drawing>
      </w:r>
    </w:p>
    <w:p w14:paraId="4326C5F6" w14:textId="6F96DB09" w:rsidR="00F05915" w:rsidRDefault="002A1DF5" w:rsidP="00F05915">
      <w:pPr>
        <w:sectPr w:rsidR="00F05915" w:rsidSect="00F05915">
          <w:pgSz w:w="15840" w:h="12240" w:orient="landscape"/>
          <w:pgMar w:top="720" w:right="720" w:bottom="720" w:left="720" w:header="720" w:footer="720" w:gutter="0"/>
          <w:cols w:space="720"/>
          <w:docGrid w:linePitch="360"/>
        </w:sectPr>
      </w:pPr>
      <w:bookmarkStart w:id="11" w:name="_Toc72940016"/>
      <w:r>
        <w:rPr>
          <w:rStyle w:val="Heading1Char"/>
        </w:rPr>
        <w:t>Supplementary</w:t>
      </w:r>
      <w:r w:rsidR="00F05915" w:rsidRPr="00B3401F">
        <w:rPr>
          <w:rStyle w:val="Heading1Char"/>
        </w:rPr>
        <w:t xml:space="preserve"> Figure </w:t>
      </w:r>
      <w:r w:rsidR="00F05915" w:rsidRPr="00B3401F">
        <w:rPr>
          <w:rStyle w:val="Heading1Char"/>
        </w:rPr>
        <w:fldChar w:fldCharType="begin"/>
      </w:r>
      <w:r w:rsidR="00F05915" w:rsidRPr="00B3401F">
        <w:rPr>
          <w:rStyle w:val="Heading1Char"/>
        </w:rPr>
        <w:instrText xml:space="preserve"> SEQ Figure \* ARABIC </w:instrText>
      </w:r>
      <w:r w:rsidR="00F05915" w:rsidRPr="00B3401F">
        <w:rPr>
          <w:rStyle w:val="Heading1Char"/>
        </w:rPr>
        <w:fldChar w:fldCharType="separate"/>
      </w:r>
      <w:r w:rsidR="00381268">
        <w:rPr>
          <w:rStyle w:val="Heading1Char"/>
          <w:noProof/>
        </w:rPr>
        <w:t>6</w:t>
      </w:r>
      <w:r w:rsidR="00F05915" w:rsidRPr="00B3401F">
        <w:rPr>
          <w:rStyle w:val="Heading1Char"/>
        </w:rPr>
        <w:fldChar w:fldCharType="end"/>
      </w:r>
      <w:r w:rsidR="00B90897">
        <w:rPr>
          <w:rStyle w:val="Heading1Char"/>
        </w:rPr>
        <w:t xml:space="preserve">.  </w:t>
      </w:r>
      <w:r w:rsidR="00F05915" w:rsidRPr="00B90897">
        <w:rPr>
          <w:rStyle w:val="Heading1Char"/>
          <w:b w:val="0"/>
        </w:rPr>
        <w:t>Reactivity to endemic coronavirus spike proteins in self-collected finger-stick blood (FSB) and saliva.</w:t>
      </w:r>
      <w:bookmarkEnd w:id="11"/>
      <w:r w:rsidR="00F05915" w:rsidRPr="00F05915">
        <w:rPr>
          <w:b/>
        </w:rPr>
        <w:t xml:space="preserve"> </w:t>
      </w:r>
      <w:r w:rsidR="00F05915" w:rsidRPr="00F05915">
        <w:t xml:space="preserve"> Concentrations of anti</w:t>
      </w:r>
      <w:r w:rsidR="00F05915">
        <w:t xml:space="preserve">-spike </w:t>
      </w:r>
      <w:r w:rsidR="00F05915" w:rsidRPr="00F05915">
        <w:t>IgG antibo</w:t>
      </w:r>
      <w:r w:rsidR="00F05915">
        <w:t xml:space="preserve">dies are plotted for </w:t>
      </w:r>
      <w:r w:rsidR="00F05915" w:rsidRPr="00F05915">
        <w:t xml:space="preserve">donors who have been grouped based on survey responses about </w:t>
      </w:r>
      <w:r w:rsidR="00F05915">
        <w:t>SARS-</w:t>
      </w:r>
      <w:r w:rsidR="00F05915" w:rsidRPr="00F05915">
        <w:t xml:space="preserve">CoV-2 infection, exposure, and symptoms as detailed in Table 1. Blue indicates donors whose IgG levels in finger-stick blood exceeded the threshold for </w:t>
      </w:r>
      <w:r w:rsidR="00F05915">
        <w:t>an</w:t>
      </w:r>
      <w:r w:rsidR="00BD4A3A">
        <w:t>t</w:t>
      </w:r>
      <w:r w:rsidR="00F05915">
        <w:t>i-</w:t>
      </w:r>
      <w:r w:rsidR="00F05915" w:rsidRPr="00F05915">
        <w:t>SARS-CoV-2 spike</w:t>
      </w:r>
      <w:r w:rsidR="00F05915">
        <w:t xml:space="preserve"> IgG</w:t>
      </w:r>
      <w:r w:rsidR="00F05915" w:rsidRPr="00F05915">
        <w:t>.</w:t>
      </w:r>
    </w:p>
    <w:p w14:paraId="504EFEF2" w14:textId="7D08A8E9" w:rsidR="00F05915" w:rsidRDefault="00F05915"/>
    <w:bookmarkEnd w:id="10"/>
    <w:p w14:paraId="279582FC" w14:textId="77777777" w:rsidR="00EF2F29" w:rsidRDefault="00EF2F29" w:rsidP="00772286">
      <w:pPr>
        <w:jc w:val="center"/>
      </w:pPr>
      <w:r>
        <w:rPr>
          <w:noProof/>
        </w:rPr>
        <w:drawing>
          <wp:inline distT="0" distB="0" distL="0" distR="0" wp14:anchorId="56067028" wp14:editId="650E4AE5">
            <wp:extent cx="5885047" cy="6104549"/>
            <wp:effectExtent l="0" t="0" r="1905" b="0"/>
            <wp:docPr id="6" name="fbs_summ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bs_summary.png"/>
                    <pic:cNvPicPr/>
                  </pic:nvPicPr>
                  <pic:blipFill>
                    <a:blip r:embed="rId20">
                      <a:extLst>
                        <a:ext uri="{28A0092B-C50C-407E-A947-70E740481C1C}">
                          <a14:useLocalDpi xmlns:a14="http://schemas.microsoft.com/office/drawing/2010/main" val="0"/>
                        </a:ext>
                      </a:extLst>
                    </a:blip>
                    <a:stretch>
                      <a:fillRect/>
                    </a:stretch>
                  </pic:blipFill>
                  <pic:spPr>
                    <a:xfrm>
                      <a:off x="0" y="0"/>
                      <a:ext cx="5885047" cy="6104549"/>
                    </a:xfrm>
                    <a:prstGeom prst="rect">
                      <a:avLst/>
                    </a:prstGeom>
                  </pic:spPr>
                </pic:pic>
              </a:graphicData>
            </a:graphic>
          </wp:inline>
        </w:drawing>
      </w:r>
    </w:p>
    <w:p w14:paraId="126C7948" w14:textId="7BBA8C08" w:rsidR="00AA506E" w:rsidRDefault="002A1DF5" w:rsidP="005F6BD6">
      <w:bookmarkStart w:id="12" w:name="_Toc72940017"/>
      <w:bookmarkStart w:id="13" w:name="_Toc62734066"/>
      <w:r>
        <w:rPr>
          <w:rStyle w:val="Heading1Char"/>
        </w:rPr>
        <w:t>Supplementary</w:t>
      </w:r>
      <w:r w:rsidR="00A4254B" w:rsidRPr="00381268">
        <w:rPr>
          <w:rStyle w:val="Heading1Char"/>
        </w:rPr>
        <w:t xml:space="preserve"> </w:t>
      </w:r>
      <w:r w:rsidR="00AA506E" w:rsidRPr="00381268">
        <w:rPr>
          <w:rStyle w:val="Heading1Char"/>
        </w:rPr>
        <w:t xml:space="preserve">Table </w:t>
      </w:r>
      <w:r w:rsidR="00AA506E" w:rsidRPr="00381268">
        <w:rPr>
          <w:rStyle w:val="Heading1Char"/>
        </w:rPr>
        <w:fldChar w:fldCharType="begin"/>
      </w:r>
      <w:r w:rsidR="00AA506E" w:rsidRPr="00381268">
        <w:rPr>
          <w:rStyle w:val="Heading1Char"/>
        </w:rPr>
        <w:instrText xml:space="preserve"> SEQ Table \* ARABIC </w:instrText>
      </w:r>
      <w:r w:rsidR="00AA506E" w:rsidRPr="00381268">
        <w:rPr>
          <w:rStyle w:val="Heading1Char"/>
        </w:rPr>
        <w:fldChar w:fldCharType="separate"/>
      </w:r>
      <w:r w:rsidR="00381268" w:rsidRPr="00381268">
        <w:rPr>
          <w:rStyle w:val="Heading1Char"/>
        </w:rPr>
        <w:t>2</w:t>
      </w:r>
      <w:r w:rsidR="00AA506E" w:rsidRPr="00381268">
        <w:rPr>
          <w:rStyle w:val="Heading1Char"/>
        </w:rPr>
        <w:fldChar w:fldCharType="end"/>
      </w:r>
      <w:r w:rsidR="00B90897">
        <w:rPr>
          <w:rStyle w:val="Heading1Char"/>
        </w:rPr>
        <w:t>.</w:t>
      </w:r>
      <w:r w:rsidR="00AA506E" w:rsidRPr="00381268">
        <w:rPr>
          <w:rStyle w:val="Heading1Char"/>
        </w:rPr>
        <w:t xml:space="preserve"> </w:t>
      </w:r>
      <w:r w:rsidR="00B90897">
        <w:rPr>
          <w:rStyle w:val="Heading1Char"/>
        </w:rPr>
        <w:t xml:space="preserve"> </w:t>
      </w:r>
      <w:r w:rsidR="00AA506E" w:rsidRPr="00B90897">
        <w:rPr>
          <w:rStyle w:val="Heading1Char"/>
          <w:b w:val="0"/>
        </w:rPr>
        <w:t>Immunoglobulin concentrations in finger-stick blood self-collected by donors without confirmed COVID-19 diagnosis, household exposure, or recent symptoms.</w:t>
      </w:r>
      <w:bookmarkEnd w:id="12"/>
      <w:r w:rsidR="00AA506E" w:rsidRPr="00381268">
        <w:rPr>
          <w:rStyle w:val="Heading1Char"/>
        </w:rPr>
        <w:t xml:space="preserve"> </w:t>
      </w:r>
      <w:r w:rsidR="00AA506E">
        <w:t xml:space="preserve"> These measurements were used to establish the upper-limit of non-specific reactivity.</w:t>
      </w:r>
      <w:bookmarkEnd w:id="13"/>
      <w:r w:rsidR="004469C1">
        <w:t xml:space="preserve">  Concentrations for total immunoglobulins (IgA, IgG, and IgM) are reported in pg/mL.  All other concentrations are AU/mL.</w:t>
      </w:r>
    </w:p>
    <w:p w14:paraId="2DCED72A" w14:textId="77777777" w:rsidR="00EF2F29" w:rsidRDefault="00EF2F29" w:rsidP="005F6BD6">
      <w:r>
        <w:br w:type="page"/>
      </w:r>
    </w:p>
    <w:p w14:paraId="32062E6D" w14:textId="77777777" w:rsidR="00AA506E" w:rsidRDefault="00EF2F29" w:rsidP="00772286">
      <w:pPr>
        <w:jc w:val="center"/>
      </w:pPr>
      <w:r>
        <w:rPr>
          <w:noProof/>
        </w:rPr>
        <w:lastRenderedPageBreak/>
        <w:drawing>
          <wp:inline distT="0" distB="0" distL="0" distR="0" wp14:anchorId="1AB87F8E" wp14:editId="25106F64">
            <wp:extent cx="5943600" cy="2390620"/>
            <wp:effectExtent l="0" t="0" r="0" b="0"/>
            <wp:docPr id="7" name="saliva_summ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aliva_summary.png"/>
                    <pic:cNvPicPr/>
                  </pic:nvPicPr>
                  <pic:blipFill>
                    <a:blip r:embed="rId21">
                      <a:extLst>
                        <a:ext uri="{28A0092B-C50C-407E-A947-70E740481C1C}">
                          <a14:useLocalDpi xmlns:a14="http://schemas.microsoft.com/office/drawing/2010/main" val="0"/>
                        </a:ext>
                      </a:extLst>
                    </a:blip>
                    <a:stretch>
                      <a:fillRect/>
                    </a:stretch>
                  </pic:blipFill>
                  <pic:spPr>
                    <a:xfrm>
                      <a:off x="0" y="0"/>
                      <a:ext cx="5943600" cy="2390620"/>
                    </a:xfrm>
                    <a:prstGeom prst="rect">
                      <a:avLst/>
                    </a:prstGeom>
                  </pic:spPr>
                </pic:pic>
              </a:graphicData>
            </a:graphic>
          </wp:inline>
        </w:drawing>
      </w:r>
    </w:p>
    <w:p w14:paraId="594982EE" w14:textId="2C042DA1" w:rsidR="00B3401F" w:rsidRDefault="002A1DF5" w:rsidP="005F6BD6">
      <w:bookmarkStart w:id="14" w:name="_Toc72940018"/>
      <w:bookmarkStart w:id="15" w:name="_Toc62734067"/>
      <w:r>
        <w:rPr>
          <w:rStyle w:val="Heading1Char"/>
        </w:rPr>
        <w:t>Supplementary</w:t>
      </w:r>
      <w:r w:rsidR="00A4254B">
        <w:rPr>
          <w:rStyle w:val="Heading1Char"/>
        </w:rPr>
        <w:t xml:space="preserve"> </w:t>
      </w:r>
      <w:r w:rsidR="00AA506E" w:rsidRPr="00772286">
        <w:rPr>
          <w:rStyle w:val="Heading1Char"/>
        </w:rPr>
        <w:t xml:space="preserve">Table </w:t>
      </w:r>
      <w:r w:rsidR="00AA506E" w:rsidRPr="00772286">
        <w:rPr>
          <w:rStyle w:val="Heading1Char"/>
        </w:rPr>
        <w:fldChar w:fldCharType="begin"/>
      </w:r>
      <w:r w:rsidR="00AA506E" w:rsidRPr="00772286">
        <w:rPr>
          <w:rStyle w:val="Heading1Char"/>
        </w:rPr>
        <w:instrText xml:space="preserve"> SEQ Table \* ARABIC </w:instrText>
      </w:r>
      <w:r w:rsidR="00AA506E" w:rsidRPr="00772286">
        <w:rPr>
          <w:rStyle w:val="Heading1Char"/>
        </w:rPr>
        <w:fldChar w:fldCharType="separate"/>
      </w:r>
      <w:r w:rsidR="00381268">
        <w:rPr>
          <w:rStyle w:val="Heading1Char"/>
          <w:noProof/>
        </w:rPr>
        <w:t>3</w:t>
      </w:r>
      <w:r w:rsidR="00AA506E" w:rsidRPr="00772286">
        <w:rPr>
          <w:rStyle w:val="Heading1Char"/>
        </w:rPr>
        <w:fldChar w:fldCharType="end"/>
      </w:r>
      <w:r w:rsidR="00B90897">
        <w:rPr>
          <w:rStyle w:val="Heading1Char"/>
        </w:rPr>
        <w:t>.</w:t>
      </w:r>
      <w:r w:rsidR="00AA506E" w:rsidRPr="00772286">
        <w:rPr>
          <w:rStyle w:val="Heading1Char"/>
        </w:rPr>
        <w:t xml:space="preserve"> </w:t>
      </w:r>
      <w:r w:rsidR="00B90897">
        <w:rPr>
          <w:rStyle w:val="Heading1Char"/>
        </w:rPr>
        <w:t xml:space="preserve"> </w:t>
      </w:r>
      <w:r w:rsidR="00AA506E" w:rsidRPr="00B90897">
        <w:rPr>
          <w:rStyle w:val="Heading1Char"/>
          <w:b w:val="0"/>
        </w:rPr>
        <w:t xml:space="preserve">Immunoglobulin concentrations in </w:t>
      </w:r>
      <w:r w:rsidR="00B976EF" w:rsidRPr="00B90897">
        <w:rPr>
          <w:rStyle w:val="Heading1Char"/>
          <w:b w:val="0"/>
        </w:rPr>
        <w:t>saliva</w:t>
      </w:r>
      <w:r w:rsidR="005519BF" w:rsidRPr="00B90897">
        <w:rPr>
          <w:rStyle w:val="Heading1Char"/>
          <w:b w:val="0"/>
        </w:rPr>
        <w:t xml:space="preserve"> </w:t>
      </w:r>
      <w:r w:rsidR="00AA506E" w:rsidRPr="00B90897">
        <w:rPr>
          <w:rStyle w:val="Heading1Char"/>
          <w:b w:val="0"/>
        </w:rPr>
        <w:t>self-collected by donors without confirmed COVID-19 diagnosis, household exposure, or recent symptoms.</w:t>
      </w:r>
      <w:bookmarkEnd w:id="14"/>
      <w:r w:rsidR="00AA506E" w:rsidRPr="00772286">
        <w:rPr>
          <w:rStyle w:val="Heading1Char"/>
        </w:rPr>
        <w:t xml:space="preserve">  </w:t>
      </w:r>
      <w:r w:rsidR="00AA506E" w:rsidRPr="00AA506E">
        <w:t>These measurements were used to establish the upper-limit of non-specific reactivity.</w:t>
      </w:r>
      <w:bookmarkEnd w:id="15"/>
      <w:r w:rsidR="004469C1">
        <w:t xml:space="preserve">  Concentrations for total immunoglobulins (IgA, IgG, and IgM) are reported in pg/mL.  All other concentrations are AU/mL.</w:t>
      </w:r>
    </w:p>
    <w:p w14:paraId="1B272B9A" w14:textId="77777777" w:rsidR="00B3401F" w:rsidRDefault="00B3401F">
      <w:r>
        <w:br w:type="page"/>
      </w:r>
    </w:p>
    <w:p w14:paraId="1FD04D88" w14:textId="77777777" w:rsidR="008E5801" w:rsidRDefault="00B3401F" w:rsidP="008E5801">
      <w:pPr>
        <w:keepNext/>
      </w:pPr>
      <w:r>
        <w:rPr>
          <w:noProof/>
        </w:rPr>
        <w:lastRenderedPageBreak/>
        <w:drawing>
          <wp:inline distT="0" distB="0" distL="0" distR="0" wp14:anchorId="30FA5771" wp14:editId="0EF9682A">
            <wp:extent cx="6445849" cy="1000664"/>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mmary table  HCoV- .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563013" cy="1018853"/>
                    </a:xfrm>
                    <a:prstGeom prst="rect">
                      <a:avLst/>
                    </a:prstGeom>
                  </pic:spPr>
                </pic:pic>
              </a:graphicData>
            </a:graphic>
          </wp:inline>
        </w:drawing>
      </w:r>
    </w:p>
    <w:p w14:paraId="21436159" w14:textId="0BB8AB52" w:rsidR="00B3401F" w:rsidRDefault="002A1DF5" w:rsidP="008E5801">
      <w:bookmarkStart w:id="16" w:name="_Toc72940019"/>
      <w:r>
        <w:rPr>
          <w:rStyle w:val="Heading1Char"/>
        </w:rPr>
        <w:t>Supplementary</w:t>
      </w:r>
      <w:r w:rsidR="008E5801" w:rsidRPr="008E5801">
        <w:rPr>
          <w:rStyle w:val="Heading1Char"/>
        </w:rPr>
        <w:t xml:space="preserve"> Table </w:t>
      </w:r>
      <w:r w:rsidR="008E5801" w:rsidRPr="008E5801">
        <w:rPr>
          <w:rStyle w:val="Heading1Char"/>
        </w:rPr>
        <w:fldChar w:fldCharType="begin"/>
      </w:r>
      <w:r w:rsidR="008E5801" w:rsidRPr="008E5801">
        <w:rPr>
          <w:rStyle w:val="Heading1Char"/>
        </w:rPr>
        <w:instrText xml:space="preserve"> SEQ Table \* ARABIC </w:instrText>
      </w:r>
      <w:r w:rsidR="008E5801" w:rsidRPr="008E5801">
        <w:rPr>
          <w:rStyle w:val="Heading1Char"/>
        </w:rPr>
        <w:fldChar w:fldCharType="separate"/>
      </w:r>
      <w:r w:rsidR="00381268">
        <w:rPr>
          <w:rStyle w:val="Heading1Char"/>
          <w:noProof/>
        </w:rPr>
        <w:t>4</w:t>
      </w:r>
      <w:r w:rsidR="008E5801" w:rsidRPr="008E5801">
        <w:rPr>
          <w:rStyle w:val="Heading1Char"/>
        </w:rPr>
        <w:fldChar w:fldCharType="end"/>
      </w:r>
      <w:r w:rsidR="00B90897">
        <w:rPr>
          <w:rStyle w:val="Heading1Char"/>
        </w:rPr>
        <w:t>.</w:t>
      </w:r>
      <w:r w:rsidR="008E5801" w:rsidRPr="008E5801">
        <w:rPr>
          <w:rStyle w:val="Heading1Char"/>
        </w:rPr>
        <w:t xml:space="preserve"> </w:t>
      </w:r>
      <w:r w:rsidR="00B3401F" w:rsidRPr="008E5801">
        <w:rPr>
          <w:rStyle w:val="Heading1Char"/>
        </w:rPr>
        <w:t xml:space="preserve"> </w:t>
      </w:r>
      <w:r w:rsidR="00B3401F" w:rsidRPr="00B90897">
        <w:rPr>
          <w:rStyle w:val="Heading1Char"/>
          <w:b w:val="0"/>
        </w:rPr>
        <w:t>Antibody concentrations for endemic coronaviruses in finger-stick blood, saliva, and serum.</w:t>
      </w:r>
      <w:bookmarkEnd w:id="16"/>
      <w:r w:rsidR="00B3401F" w:rsidRPr="008E5801">
        <w:rPr>
          <w:rStyle w:val="Heading1Char"/>
        </w:rPr>
        <w:t xml:space="preserve"> </w:t>
      </w:r>
      <w:r w:rsidR="00B3401F" w:rsidRPr="00357D42">
        <w:rPr>
          <w:b/>
        </w:rPr>
        <w:t xml:space="preserve"> </w:t>
      </w:r>
      <w:r w:rsidR="00B3401F">
        <w:t>Geometric means were computed for IgG concentrations measured in finger-stick blood and saliva for four endemic coronaviruses, and compared to previously measured values for serum.  Ratios of these values were computed to determine the relative amounts of antibodies in serum versus finger-stick blood and saliva.  Averages of these ratios were 50.1x for finger-stick blood and 2,800x for saliva.</w:t>
      </w:r>
    </w:p>
    <w:p w14:paraId="336FF399" w14:textId="77777777" w:rsidR="00A4254B" w:rsidRDefault="00A4254B" w:rsidP="005F6BD6"/>
    <w:p w14:paraId="646DBC39" w14:textId="77777777" w:rsidR="00A4254B" w:rsidRDefault="00A4254B">
      <w:r>
        <w:br w:type="page"/>
      </w:r>
    </w:p>
    <w:p w14:paraId="7470E23F" w14:textId="77777777" w:rsidR="00381268" w:rsidRDefault="00A4254B" w:rsidP="00381268">
      <w:pPr>
        <w:keepNext/>
      </w:pPr>
      <w:r>
        <w:rPr>
          <w:noProof/>
        </w:rPr>
        <w:lastRenderedPageBreak/>
        <w:drawing>
          <wp:inline distT="0" distB="0" distL="0" distR="0" wp14:anchorId="1837F436" wp14:editId="0F1DB127">
            <wp:extent cx="6543615" cy="5957173"/>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5 FSB vs saliva correlation for CCV.png"/>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6543615" cy="5957173"/>
                    </a:xfrm>
                    <a:prstGeom prst="rect">
                      <a:avLst/>
                    </a:prstGeom>
                    <a:ln>
                      <a:noFill/>
                    </a:ln>
                    <a:extLst>
                      <a:ext uri="{53640926-AAD7-44D8-BBD7-CCE9431645EC}">
                        <a14:shadowObscured xmlns:a14="http://schemas.microsoft.com/office/drawing/2010/main"/>
                      </a:ext>
                    </a:extLst>
                  </pic:spPr>
                </pic:pic>
              </a:graphicData>
            </a:graphic>
          </wp:inline>
        </w:drawing>
      </w:r>
    </w:p>
    <w:p w14:paraId="06085565" w14:textId="6DA298CC" w:rsidR="00D27866" w:rsidRDefault="002A1DF5" w:rsidP="00381268">
      <w:bookmarkStart w:id="17" w:name="_Toc72940020"/>
      <w:r>
        <w:rPr>
          <w:rStyle w:val="Heading1Char"/>
        </w:rPr>
        <w:t>Supplementary</w:t>
      </w:r>
      <w:r w:rsidR="00A4254B" w:rsidRPr="00381268">
        <w:rPr>
          <w:rStyle w:val="Heading1Char"/>
        </w:rPr>
        <w:t xml:space="preserve"> </w:t>
      </w:r>
      <w:r w:rsidR="00381268" w:rsidRPr="00381268">
        <w:rPr>
          <w:rStyle w:val="Heading1Char"/>
        </w:rPr>
        <w:t xml:space="preserve">Figure </w:t>
      </w:r>
      <w:r w:rsidR="00381268" w:rsidRPr="00381268">
        <w:rPr>
          <w:rStyle w:val="Heading1Char"/>
        </w:rPr>
        <w:fldChar w:fldCharType="begin"/>
      </w:r>
      <w:r w:rsidR="00381268" w:rsidRPr="00381268">
        <w:rPr>
          <w:rStyle w:val="Heading1Char"/>
        </w:rPr>
        <w:instrText xml:space="preserve"> SEQ Figure \* ARABIC </w:instrText>
      </w:r>
      <w:r w:rsidR="00381268" w:rsidRPr="00381268">
        <w:rPr>
          <w:rStyle w:val="Heading1Char"/>
        </w:rPr>
        <w:fldChar w:fldCharType="separate"/>
      </w:r>
      <w:r w:rsidR="00381268">
        <w:rPr>
          <w:rStyle w:val="Heading1Char"/>
          <w:noProof/>
        </w:rPr>
        <w:t>7</w:t>
      </w:r>
      <w:r w:rsidR="00381268" w:rsidRPr="00381268">
        <w:rPr>
          <w:rStyle w:val="Heading1Char"/>
        </w:rPr>
        <w:fldChar w:fldCharType="end"/>
      </w:r>
      <w:r w:rsidR="00B90897">
        <w:rPr>
          <w:rStyle w:val="Heading1Char"/>
        </w:rPr>
        <w:t xml:space="preserve">.  </w:t>
      </w:r>
      <w:r w:rsidR="00CB4062" w:rsidRPr="00B90897">
        <w:rPr>
          <w:rStyle w:val="Heading1Char"/>
          <w:b w:val="0"/>
        </w:rPr>
        <w:t xml:space="preserve">Correlation </w:t>
      </w:r>
      <w:r w:rsidR="00A4254B" w:rsidRPr="00B90897">
        <w:rPr>
          <w:rStyle w:val="Heading1Char"/>
          <w:b w:val="0"/>
        </w:rPr>
        <w:t>in reactivity to CoV-2 antigens measured in self-collected saliva versus finger-stick blood.</w:t>
      </w:r>
      <w:bookmarkEnd w:id="17"/>
      <w:r w:rsidR="00A4254B" w:rsidRPr="00B3401F">
        <w:rPr>
          <w:rStyle w:val="Heading1Char"/>
        </w:rPr>
        <w:t xml:space="preserve"> </w:t>
      </w:r>
      <w:r w:rsidR="00A4254B" w:rsidRPr="00A4254B">
        <w:t xml:space="preserve"> Levels of IgG antibodies were measured in matched saliva and finger-stick blood provided by the same donors.  Dotted lines indicate the selected classification thresholds.  For each figure, the lower left quadrant contains samples that are within the range of non-specific reactivity for both saliva and finger-stick blood.  The upper right quadrant are samples with high reactivity for both saliva and finger-stick blood.</w:t>
      </w:r>
    </w:p>
    <w:p w14:paraId="5776ED45" w14:textId="77777777" w:rsidR="00A4254B" w:rsidRDefault="00A4254B" w:rsidP="005F6BD6"/>
    <w:sectPr w:rsidR="00A4254B" w:rsidSect="00D278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0C63E" w14:textId="77777777" w:rsidR="0020681B" w:rsidRDefault="0020681B" w:rsidP="0020681B">
      <w:pPr>
        <w:spacing w:after="0" w:line="240" w:lineRule="auto"/>
      </w:pPr>
      <w:r>
        <w:separator/>
      </w:r>
    </w:p>
  </w:endnote>
  <w:endnote w:type="continuationSeparator" w:id="0">
    <w:p w14:paraId="63598921" w14:textId="77777777" w:rsidR="0020681B" w:rsidRDefault="0020681B" w:rsidP="00206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4523918"/>
      <w:docPartObj>
        <w:docPartGallery w:val="Page Numbers (Bottom of Page)"/>
        <w:docPartUnique/>
      </w:docPartObj>
    </w:sdtPr>
    <w:sdtEndPr>
      <w:rPr>
        <w:noProof/>
      </w:rPr>
    </w:sdtEndPr>
    <w:sdtContent>
      <w:p w14:paraId="1D9AC4F1" w14:textId="2F3DF887" w:rsidR="0020681B" w:rsidRDefault="0020681B">
        <w:pPr>
          <w:pStyle w:val="Footer"/>
          <w:jc w:val="center"/>
        </w:pPr>
        <w:r>
          <w:fldChar w:fldCharType="begin"/>
        </w:r>
        <w:r>
          <w:instrText xml:space="preserve"> PAGE   \* MERGEFORMAT </w:instrText>
        </w:r>
        <w:r>
          <w:fldChar w:fldCharType="separate"/>
        </w:r>
        <w:r w:rsidR="00F77B9B">
          <w:rPr>
            <w:noProof/>
          </w:rPr>
          <w:t>12</w:t>
        </w:r>
        <w:r>
          <w:rPr>
            <w:noProof/>
          </w:rPr>
          <w:fldChar w:fldCharType="end"/>
        </w:r>
      </w:p>
    </w:sdtContent>
  </w:sdt>
  <w:p w14:paraId="349A3BDD" w14:textId="77777777" w:rsidR="0020681B" w:rsidRDefault="002068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75524B" w14:textId="77777777" w:rsidR="0020681B" w:rsidRDefault="0020681B" w:rsidP="0020681B">
      <w:pPr>
        <w:spacing w:after="0" w:line="240" w:lineRule="auto"/>
      </w:pPr>
      <w:r>
        <w:separator/>
      </w:r>
    </w:p>
  </w:footnote>
  <w:footnote w:type="continuationSeparator" w:id="0">
    <w:p w14:paraId="2F64DC07" w14:textId="77777777" w:rsidR="0020681B" w:rsidRDefault="0020681B" w:rsidP="002068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927BAC"/>
    <w:multiLevelType w:val="hybridMultilevel"/>
    <w:tmpl w:val="F4806DE4"/>
    <w:lvl w:ilvl="0" w:tplc="6C0C6CD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8E4"/>
    <w:rsid w:val="000478C9"/>
    <w:rsid w:val="000E1BD7"/>
    <w:rsid w:val="000E7158"/>
    <w:rsid w:val="001036C5"/>
    <w:rsid w:val="0010450E"/>
    <w:rsid w:val="00137D45"/>
    <w:rsid w:val="00142D2F"/>
    <w:rsid w:val="00187004"/>
    <w:rsid w:val="001A017C"/>
    <w:rsid w:val="001A580F"/>
    <w:rsid w:val="001A58E4"/>
    <w:rsid w:val="001C12F5"/>
    <w:rsid w:val="001C2B76"/>
    <w:rsid w:val="001C6C10"/>
    <w:rsid w:val="00206389"/>
    <w:rsid w:val="0020681B"/>
    <w:rsid w:val="002200E5"/>
    <w:rsid w:val="00236BE8"/>
    <w:rsid w:val="0026104A"/>
    <w:rsid w:val="0027398F"/>
    <w:rsid w:val="002A1DF5"/>
    <w:rsid w:val="003038EE"/>
    <w:rsid w:val="00357D42"/>
    <w:rsid w:val="00381268"/>
    <w:rsid w:val="003830D6"/>
    <w:rsid w:val="0041070E"/>
    <w:rsid w:val="004469C1"/>
    <w:rsid w:val="00493D0C"/>
    <w:rsid w:val="004A56E3"/>
    <w:rsid w:val="004D34DC"/>
    <w:rsid w:val="0053023D"/>
    <w:rsid w:val="00541AEA"/>
    <w:rsid w:val="005519BF"/>
    <w:rsid w:val="005636B7"/>
    <w:rsid w:val="00564241"/>
    <w:rsid w:val="005B0DB8"/>
    <w:rsid w:val="005B11C7"/>
    <w:rsid w:val="005C24AA"/>
    <w:rsid w:val="005F6BD6"/>
    <w:rsid w:val="00611EC4"/>
    <w:rsid w:val="006139A5"/>
    <w:rsid w:val="00624F11"/>
    <w:rsid w:val="00683B52"/>
    <w:rsid w:val="006A182D"/>
    <w:rsid w:val="006D466D"/>
    <w:rsid w:val="006F2EA1"/>
    <w:rsid w:val="00730946"/>
    <w:rsid w:val="00734EC2"/>
    <w:rsid w:val="00767FC9"/>
    <w:rsid w:val="007716F4"/>
    <w:rsid w:val="00772286"/>
    <w:rsid w:val="007C0867"/>
    <w:rsid w:val="00833F41"/>
    <w:rsid w:val="00872C62"/>
    <w:rsid w:val="008E5801"/>
    <w:rsid w:val="009406E1"/>
    <w:rsid w:val="009E2FE8"/>
    <w:rsid w:val="00A20843"/>
    <w:rsid w:val="00A2454B"/>
    <w:rsid w:val="00A4254B"/>
    <w:rsid w:val="00AA506E"/>
    <w:rsid w:val="00AA609D"/>
    <w:rsid w:val="00B04402"/>
    <w:rsid w:val="00B05FC3"/>
    <w:rsid w:val="00B24850"/>
    <w:rsid w:val="00B3401F"/>
    <w:rsid w:val="00B90897"/>
    <w:rsid w:val="00B976EF"/>
    <w:rsid w:val="00BA0C5E"/>
    <w:rsid w:val="00BB7C50"/>
    <w:rsid w:val="00BD4A3A"/>
    <w:rsid w:val="00CB4062"/>
    <w:rsid w:val="00CC297A"/>
    <w:rsid w:val="00D27866"/>
    <w:rsid w:val="00D579AE"/>
    <w:rsid w:val="00D96A3D"/>
    <w:rsid w:val="00E01988"/>
    <w:rsid w:val="00E16288"/>
    <w:rsid w:val="00EA58FD"/>
    <w:rsid w:val="00EC739E"/>
    <w:rsid w:val="00EF2F29"/>
    <w:rsid w:val="00F05915"/>
    <w:rsid w:val="00F31446"/>
    <w:rsid w:val="00F36511"/>
    <w:rsid w:val="00F61DB9"/>
    <w:rsid w:val="00F735A9"/>
    <w:rsid w:val="00F77B9B"/>
    <w:rsid w:val="00F93383"/>
    <w:rsid w:val="00FC1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49764"/>
  <w15:chartTrackingRefBased/>
  <w15:docId w15:val="{2B889ED5-D7D8-4518-9D9B-56C9EBB6A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F6BD6"/>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05FC3"/>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5F6BD6"/>
    <w:pPr>
      <w:spacing w:after="0"/>
    </w:pPr>
  </w:style>
  <w:style w:type="character" w:styleId="Hyperlink">
    <w:name w:val="Hyperlink"/>
    <w:basedOn w:val="DefaultParagraphFont"/>
    <w:uiPriority w:val="99"/>
    <w:unhideWhenUsed/>
    <w:rsid w:val="005F6BD6"/>
    <w:rPr>
      <w:color w:val="0563C1" w:themeColor="hyperlink"/>
      <w:u w:val="single"/>
    </w:rPr>
  </w:style>
  <w:style w:type="character" w:customStyle="1" w:styleId="Heading1Char">
    <w:name w:val="Heading 1 Char"/>
    <w:basedOn w:val="DefaultParagraphFont"/>
    <w:link w:val="Heading1"/>
    <w:uiPriority w:val="9"/>
    <w:rsid w:val="005F6BD6"/>
    <w:rPr>
      <w:b/>
    </w:rPr>
  </w:style>
  <w:style w:type="paragraph" w:styleId="TOCHeading">
    <w:name w:val="TOC Heading"/>
    <w:basedOn w:val="Heading1"/>
    <w:next w:val="Normal"/>
    <w:uiPriority w:val="39"/>
    <w:unhideWhenUsed/>
    <w:qFormat/>
    <w:rsid w:val="005F6BD6"/>
    <w:pPr>
      <w:outlineLvl w:val="9"/>
    </w:pPr>
  </w:style>
  <w:style w:type="paragraph" w:styleId="TOC2">
    <w:name w:val="toc 2"/>
    <w:basedOn w:val="Normal"/>
    <w:next w:val="Normal"/>
    <w:autoRedefine/>
    <w:uiPriority w:val="39"/>
    <w:unhideWhenUsed/>
    <w:rsid w:val="005F6BD6"/>
    <w:pPr>
      <w:spacing w:after="100"/>
      <w:ind w:left="220"/>
    </w:pPr>
    <w:rPr>
      <w:rFonts w:eastAsiaTheme="minorEastAsia" w:cs="Times New Roman"/>
    </w:rPr>
  </w:style>
  <w:style w:type="paragraph" w:styleId="TOC1">
    <w:name w:val="toc 1"/>
    <w:basedOn w:val="Normal"/>
    <w:next w:val="Normal"/>
    <w:autoRedefine/>
    <w:uiPriority w:val="39"/>
    <w:unhideWhenUsed/>
    <w:rsid w:val="005F6BD6"/>
    <w:pPr>
      <w:spacing w:after="100"/>
    </w:pPr>
    <w:rPr>
      <w:rFonts w:eastAsiaTheme="minorEastAsia" w:cs="Times New Roman"/>
    </w:rPr>
  </w:style>
  <w:style w:type="paragraph" w:styleId="TOC3">
    <w:name w:val="toc 3"/>
    <w:basedOn w:val="Normal"/>
    <w:next w:val="Normal"/>
    <w:autoRedefine/>
    <w:uiPriority w:val="39"/>
    <w:unhideWhenUsed/>
    <w:rsid w:val="005F6BD6"/>
    <w:pPr>
      <w:spacing w:after="100"/>
      <w:ind w:left="440"/>
    </w:pPr>
    <w:rPr>
      <w:rFonts w:eastAsiaTheme="minorEastAsia" w:cs="Times New Roman"/>
    </w:rPr>
  </w:style>
  <w:style w:type="paragraph" w:styleId="Header">
    <w:name w:val="header"/>
    <w:basedOn w:val="Normal"/>
    <w:link w:val="HeaderChar"/>
    <w:uiPriority w:val="99"/>
    <w:unhideWhenUsed/>
    <w:rsid w:val="002068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81B"/>
  </w:style>
  <w:style w:type="paragraph" w:styleId="Footer">
    <w:name w:val="footer"/>
    <w:basedOn w:val="Normal"/>
    <w:link w:val="FooterChar"/>
    <w:uiPriority w:val="99"/>
    <w:unhideWhenUsed/>
    <w:rsid w:val="002068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81B"/>
  </w:style>
  <w:style w:type="paragraph" w:styleId="BalloonText">
    <w:name w:val="Balloon Text"/>
    <w:basedOn w:val="Normal"/>
    <w:link w:val="BalloonTextChar"/>
    <w:uiPriority w:val="99"/>
    <w:semiHidden/>
    <w:unhideWhenUsed/>
    <w:rsid w:val="001036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6C5"/>
    <w:rPr>
      <w:rFonts w:ascii="Segoe UI" w:hAnsi="Segoe UI" w:cs="Segoe UI"/>
      <w:sz w:val="18"/>
      <w:szCs w:val="18"/>
    </w:rPr>
  </w:style>
  <w:style w:type="paragraph" w:styleId="ListParagraph">
    <w:name w:val="List Paragraph"/>
    <w:basedOn w:val="Normal"/>
    <w:uiPriority w:val="34"/>
    <w:qFormat/>
    <w:rsid w:val="00F05915"/>
    <w:pPr>
      <w:ind w:left="720"/>
      <w:contextualSpacing/>
    </w:pPr>
  </w:style>
  <w:style w:type="character" w:styleId="CommentReference">
    <w:name w:val="annotation reference"/>
    <w:basedOn w:val="DefaultParagraphFont"/>
    <w:uiPriority w:val="99"/>
    <w:semiHidden/>
    <w:unhideWhenUsed/>
    <w:rsid w:val="00FC1753"/>
    <w:rPr>
      <w:sz w:val="16"/>
      <w:szCs w:val="16"/>
    </w:rPr>
  </w:style>
  <w:style w:type="paragraph" w:styleId="CommentText">
    <w:name w:val="annotation text"/>
    <w:basedOn w:val="Normal"/>
    <w:link w:val="CommentTextChar"/>
    <w:uiPriority w:val="99"/>
    <w:semiHidden/>
    <w:unhideWhenUsed/>
    <w:rsid w:val="00FC1753"/>
    <w:pPr>
      <w:spacing w:line="240" w:lineRule="auto"/>
    </w:pPr>
    <w:rPr>
      <w:sz w:val="20"/>
      <w:szCs w:val="20"/>
    </w:rPr>
  </w:style>
  <w:style w:type="character" w:customStyle="1" w:styleId="CommentTextChar">
    <w:name w:val="Comment Text Char"/>
    <w:basedOn w:val="DefaultParagraphFont"/>
    <w:link w:val="CommentText"/>
    <w:uiPriority w:val="99"/>
    <w:semiHidden/>
    <w:rsid w:val="00FC1753"/>
    <w:rPr>
      <w:sz w:val="20"/>
      <w:szCs w:val="20"/>
    </w:rPr>
  </w:style>
  <w:style w:type="paragraph" w:styleId="CommentSubject">
    <w:name w:val="annotation subject"/>
    <w:basedOn w:val="CommentText"/>
    <w:next w:val="CommentText"/>
    <w:link w:val="CommentSubjectChar"/>
    <w:uiPriority w:val="99"/>
    <w:semiHidden/>
    <w:unhideWhenUsed/>
    <w:rsid w:val="00FC1753"/>
    <w:rPr>
      <w:b/>
      <w:bCs/>
    </w:rPr>
  </w:style>
  <w:style w:type="character" w:customStyle="1" w:styleId="CommentSubjectChar">
    <w:name w:val="Comment Subject Char"/>
    <w:basedOn w:val="CommentTextChar"/>
    <w:link w:val="CommentSubject"/>
    <w:uiPriority w:val="99"/>
    <w:semiHidden/>
    <w:rsid w:val="00FC175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file:///\\meso-scale.com\dfshome\Clinical%20Biomarkers\COVID-2019\Self-collection%20clinical%20studies\MSD%20Employee%20Study\Sample%20Testing\Experiments\20210112_DR_MSD%20Internal%20Study%20full%20set%20P5%20run%20using%20D2\R%20files\Figures\Figure%202%20Total%20Immunoglobulin%20Summary%20Figure.png" TargetMode="Externa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3E90D324806349A109339A11B1ECEC" ma:contentTypeVersion="0" ma:contentTypeDescription="Create a new document." ma:contentTypeScope="" ma:versionID="a0d8515963a68b536811878a7e9f73e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2353D-6F34-422C-9CF3-C0E11D9589DB}">
  <ds:schemaRefs>
    <ds:schemaRef ds:uri="http://www.w3.org/XML/1998/namespace"/>
    <ds:schemaRef ds:uri="http://schemas.microsoft.com/office/2006/documentManagement/types"/>
    <ds:schemaRef ds:uri="http://purl.org/dc/elements/1.1/"/>
    <ds:schemaRef ds:uri="http://purl.org/dc/terms/"/>
    <ds:schemaRef ds:uri="http://schemas.openxmlformats.org/package/2006/metadata/core-properties"/>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AC399DC1-0D7C-46D6-A524-D375ADFE193C}">
  <ds:schemaRefs>
    <ds:schemaRef ds:uri="http://schemas.microsoft.com/sharepoint/v3/contenttype/forms"/>
  </ds:schemaRefs>
</ds:datastoreItem>
</file>

<file path=customXml/itemProps3.xml><?xml version="1.0" encoding="utf-8"?>
<ds:datastoreItem xmlns:ds="http://schemas.openxmlformats.org/officeDocument/2006/customXml" ds:itemID="{4DE3132E-024B-4E1C-A61F-D2AC84BB33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B2C0707-E87E-466A-AC5B-5E51A5A45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3077</TotalTime>
  <Pages>12</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Meso Scale Diagnostics, LLC.</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Campbell</dc:creator>
  <cp:keywords/>
  <dc:description/>
  <cp:lastModifiedBy>Christopher Campbell</cp:lastModifiedBy>
  <cp:revision>63</cp:revision>
  <cp:lastPrinted>2021-03-26T16:23:00Z</cp:lastPrinted>
  <dcterms:created xsi:type="dcterms:W3CDTF">2021-01-28T18:19:00Z</dcterms:created>
  <dcterms:modified xsi:type="dcterms:W3CDTF">2021-06-23T14:07:00Z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0x010100383E90D324806349A109339A11B1ECEC</vt:lpwstr>
  </property>
</Properties>
</file>