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497C8">
      <w:pPr>
        <w:spacing w:line="480" w:lineRule="auto"/>
        <w:jc w:val="center"/>
        <w:rPr>
          <w:rFonts w:ascii="Times New Roman" w:hAnsi="Times New Roman" w:cs="Times New Roman"/>
          <w:b/>
          <w:bCs/>
          <w:sz w:val="32"/>
          <w:szCs w:val="32"/>
        </w:rPr>
      </w:pPr>
      <w:r>
        <w:rPr>
          <w:rFonts w:ascii="Times New Roman" w:hAnsi="Times New Roman" w:cs="Times New Roman"/>
          <w:b/>
          <w:bCs/>
          <w:sz w:val="32"/>
          <w:szCs w:val="32"/>
        </w:rPr>
        <w:t>Supplementary Methods</w:t>
      </w:r>
    </w:p>
    <w:p w14:paraId="02B3FBD3">
      <w:pPr>
        <w:spacing w:line="480" w:lineRule="auto"/>
        <w:rPr>
          <w:rFonts w:ascii="Times New Roman" w:hAnsi="Times New Roman" w:cs="Times New Roman"/>
          <w:b/>
          <w:bCs/>
          <w:sz w:val="24"/>
        </w:rPr>
      </w:pPr>
      <w:r>
        <w:rPr>
          <w:rFonts w:ascii="Times New Roman" w:hAnsi="Times New Roman" w:cs="Times New Roman"/>
          <w:b/>
          <w:bCs/>
          <w:sz w:val="24"/>
        </w:rPr>
        <w:t>Covariates assessment</w:t>
      </w:r>
    </w:p>
    <w:p w14:paraId="4DD0766A">
      <w:pPr>
        <w:spacing w:line="480" w:lineRule="auto"/>
        <w:rPr>
          <w:rFonts w:ascii="Times New Roman" w:hAnsi="Times New Roman" w:cs="Times New Roman"/>
          <w:sz w:val="24"/>
        </w:rPr>
      </w:pPr>
      <w:r>
        <w:rPr>
          <w:rFonts w:ascii="Times New Roman" w:hAnsi="Times New Roman" w:cs="Times New Roman"/>
          <w:sz w:val="24"/>
        </w:rPr>
        <w:t>A comprehensive set of co</w:t>
      </w:r>
      <w:bookmarkStart w:id="0" w:name="_GoBack"/>
      <w:bookmarkEnd w:id="0"/>
      <w:r>
        <w:rPr>
          <w:rFonts w:ascii="Times New Roman" w:hAnsi="Times New Roman" w:cs="Times New Roman"/>
          <w:sz w:val="24"/>
        </w:rPr>
        <w:t>variates was collected to account for potential confounding factors, encompassing demographic characteristics, lifestyle behaviors, and health-related conditions. Demographic information, including age, gender, race, educational attainment, and household poverty-income ratio (PIR), was obtained from the household questionnaire. Body mass index (BMI) was calculated using height and weight measurements taken during the physical examination.</w:t>
      </w:r>
      <w:r>
        <w:rPr>
          <w:rFonts w:hint="eastAsia" w:ascii="Times New Roman" w:hAnsi="Times New Roman" w:cs="Times New Roman"/>
          <w:sz w:val="24"/>
          <w:lang w:val="en-US" w:eastAsia="zh-CN"/>
        </w:rPr>
        <w:t xml:space="preserve"> </w:t>
      </w:r>
      <w:r>
        <w:rPr>
          <w:rFonts w:hint="default" w:ascii="Times New Roman" w:hAnsi="Times New Roman" w:cs="Times New Roman"/>
          <w:sz w:val="24"/>
        </w:rPr>
        <w:t>The red blood cell distribution width‑to‑albumin ratio (RAR) is an emerging inflammatory biomarker calculated as the direct ratio of red cell distribution width to serum albumin level.</w:t>
      </w:r>
      <w:r>
        <w:rPr>
          <w:rFonts w:hint="eastAsia" w:ascii="Times New Roman" w:hAnsi="Times New Roman" w:cs="Times New Roman"/>
          <w:sz w:val="24"/>
          <w:lang w:val="en-US" w:eastAsia="zh-CN"/>
        </w:rPr>
        <w:t xml:space="preserve"> </w:t>
      </w:r>
      <w:r>
        <w:rPr>
          <w:rFonts w:ascii="Times New Roman" w:hAnsi="Times New Roman" w:cs="Times New Roman"/>
          <w:sz w:val="24"/>
        </w:rPr>
        <w:t>Smoking status was categorized into three groups: never smoker (fewer than 100 cigarettes smoked in a lifetime), former smoker (more than 100 cigarettes smoked in a lifetime but not currently smoking), and current smoker (more than 100 cigarettes smoked in a lifetime and currently smoking daily or occasionally).</w:t>
      </w:r>
      <w:r>
        <w:rPr>
          <w:rFonts w:hint="eastAsia" w:ascii="Times New Roman" w:hAnsi="Times New Roman" w:cs="Times New Roman"/>
          <w:sz w:val="24"/>
        </w:rPr>
        <w:t xml:space="preserve"> </w:t>
      </w:r>
      <w:r>
        <w:rPr>
          <w:rFonts w:ascii="Times New Roman" w:hAnsi="Times New Roman" w:cs="Times New Roman"/>
          <w:sz w:val="24"/>
        </w:rPr>
        <w:t>Drinking behavior was categorized as mild drinking (≤1 drink per day for women or ≤2 drinks per day for men on average over the past 12 months), moderate drinking (1–3 drinks per day for women or 2–4 drinks per day for men on average over the past 12 months), and heavy drinking (≥4 drinks per day for women or ≥5 drinks per day for men on average over the past 12 months)</w:t>
      </w:r>
      <w:r>
        <w:rPr>
          <w:rFonts w:hint="eastAsia" w:ascii="Times New Roman" w:hAnsi="Times New Roman" w:cs="Times New Roman"/>
          <w:sz w:val="24"/>
        </w:rPr>
        <w:t>.</w:t>
      </w:r>
    </w:p>
    <w:p w14:paraId="515B9328">
      <w:pPr>
        <w:spacing w:line="480" w:lineRule="auto"/>
        <w:rPr>
          <w:rFonts w:ascii="Times New Roman" w:hAnsi="Times New Roman" w:cs="Times New Roman"/>
          <w:sz w:val="24"/>
        </w:rPr>
      </w:pPr>
      <w:r>
        <w:rPr>
          <w:rFonts w:ascii="Times New Roman" w:hAnsi="Times New Roman" w:cs="Times New Roman"/>
          <w:sz w:val="24"/>
        </w:rPr>
        <w:t>Hypertension was defined based on either self-reported physician diagnosis or clinical measurements, with systolic blood pressure ≥140 mmHg or diastolic blood pressure ≥90 mmHg meeting the diagnostic criteria. Similarly, diabetes was identified through self-reported diagnosis or laboratory-confirmed thresholds, specifically a fasting plasma glucose level of ≥7.0 mmol/L or glycated hemoglobin (HbA1c) level of ≥6.5%. Cardiovascular disease (CVD) was defined based on physician-diagnosed history. Self-reported CVD was assessed using the question: “Has a doctor or other health professional ever told you that you had a heart attack, angina, coronary heart disease, congestive heart failure, or stroke?” Response options were “Yes,” “No,” or “Didn’t know.” Participants who responded “Yes” were classified as having CVD, while those who selected “Didn’t know” were excluded from the analysis. Hyperlipidemia</w:t>
      </w:r>
      <w:r>
        <w:rPr>
          <w:rFonts w:hint="eastAsia" w:ascii="Times New Roman" w:hAnsi="Times New Roman" w:cs="Times New Roman"/>
          <w:sz w:val="24"/>
        </w:rPr>
        <w:t xml:space="preserve"> was dignosed</w:t>
      </w:r>
      <w:r>
        <w:rPr>
          <w:rFonts w:ascii="Times New Roman" w:hAnsi="Times New Roman" w:cs="Times New Roman"/>
          <w:sz w:val="24"/>
        </w:rPr>
        <w:t xml:space="preserve"> if they met any of the subsequent criteria: ① TC ≥ 200 mg/dL ② TG ≥ 150 </w:t>
      </w:r>
    </w:p>
    <w:p w14:paraId="6626348B">
      <w:pPr>
        <w:spacing w:line="480" w:lineRule="auto"/>
        <w:rPr>
          <w:rFonts w:ascii="Times New Roman" w:hAnsi="Times New Roman" w:cs="Times New Roman"/>
          <w:sz w:val="24"/>
        </w:rPr>
      </w:pPr>
      <w:r>
        <w:rPr>
          <w:rFonts w:ascii="Times New Roman" w:hAnsi="Times New Roman" w:cs="Times New Roman"/>
          <w:sz w:val="24"/>
        </w:rPr>
        <w:t>mg/dL ③ LDL-C ≥ 130 mg/dL ④ HDL-C ≤ 40 mg/dL for males or ≤ 50 mg/dL for females.</w:t>
      </w:r>
      <w:r>
        <w:rPr>
          <w:rFonts w:hint="eastAsia" w:ascii="Times New Roman" w:hAnsi="Times New Roman" w:cs="Times New Roman"/>
          <w:sz w:val="24"/>
          <w:lang w:val="en-US" w:eastAsia="zh-CN"/>
        </w:rPr>
        <w:t xml:space="preserve"> A</w:t>
      </w:r>
      <w:r>
        <w:rPr>
          <w:rFonts w:hint="default" w:ascii="Times New Roman" w:hAnsi="Times New Roman" w:cs="Times New Roman"/>
          <w:sz w:val="24"/>
        </w:rPr>
        <w:t>nemia was determined based on age- and sex-specific hemoglobin thresholds: hemoglobinf &lt; 115 g/L for children aged 5–11 years, &lt; 120 g/L for adolescents aged 12–14 years, and for participants aged 15–18 years, &lt; 120 g/L for females and &lt; 130 g/L for males.</w:t>
      </w:r>
    </w:p>
    <w:p w14:paraId="76FF32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7F4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2026-05-11T05:29:20Z</dcterms:created>
  <dc:creator>19705</dc:creator>
  <cp:lastModifiedBy>基德</cp:lastModifiedBy>
  <dcterms:modified xsi:type="dcterms:W3CDTF">2026-05-11T05:32:51Z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eyJoZGlkIjoiOTc3M2Y5NzIzMDFlZjAyY2Q4Njk5ODkyYjFjNzBiNTQiLCJ1c2VySWQiOiIyOTg0NDkyNzEifQ==</vt:lpwstr>
  </property>
  <property fmtid="{D5CDD505-2E9C-101B-9397-08002B2CF9AE}" pid="4" name="ICV">
    <vt:lpwstr>E638D12DA50B468FA24180428A61DF02_12</vt:lpwstr>
  </property>
</Properties>
</file>