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1"/>
        <w:gridCol w:w="2481"/>
      </w:tblGrid>
      <w:tr w14:paraId="7B0943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72246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Characteristics</w:t>
            </w:r>
          </w:p>
        </w:tc>
        <w:tc>
          <w:tcPr>
            <w:tcW w:w="2481" w:type="dxa"/>
            <w:tcBorders>
              <w:bottom w:val="single" w:color="000000" w:sz="4" w:space="0"/>
              <w:tl2br w:val="nil"/>
              <w:tr2bl w:val="nil"/>
            </w:tcBorders>
            <w:vAlign w:val="center"/>
          </w:tcPr>
          <w:p w14:paraId="53FCB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0"/>
                <w:szCs w:val="20"/>
                <w:vertAlign w:val="baseline"/>
              </w:rPr>
            </w:pPr>
            <w:r>
              <w:rPr>
                <w:rFonts w:hint="eastAsia"/>
                <w:sz w:val="20"/>
                <w:szCs w:val="20"/>
                <w:vertAlign w:val="baseline"/>
              </w:rPr>
              <w:t>Value</w:t>
            </w:r>
          </w:p>
        </w:tc>
      </w:tr>
      <w:tr w14:paraId="34CBB44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23011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Tumor diameter（median (range), mm）</w:t>
            </w:r>
          </w:p>
        </w:tc>
        <w:tc>
          <w:tcPr>
            <w:tcW w:w="2481" w:type="dxa"/>
            <w:tcBorders>
              <w:top w:val="single" w:color="000000" w:sz="4" w:space="0"/>
              <w:tl2br w:val="nil"/>
              <w:tr2bl w:val="nil"/>
            </w:tcBorders>
            <w:vAlign w:val="center"/>
          </w:tcPr>
          <w:p w14:paraId="12017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0"/>
                <w:szCs w:val="20"/>
                <w:vertAlign w:val="baseline"/>
              </w:rPr>
            </w:pPr>
            <w:r>
              <w:rPr>
                <w:rFonts w:hint="eastAsia"/>
                <w:sz w:val="20"/>
                <w:szCs w:val="20"/>
                <w:vertAlign w:val="baseline"/>
              </w:rPr>
              <w:t>15(5-30)</w:t>
            </w:r>
          </w:p>
        </w:tc>
      </w:tr>
      <w:tr w14:paraId="052F7A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72893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Distance from the pleura（median (range), cm）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186F1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0"/>
                <w:szCs w:val="20"/>
                <w:vertAlign w:val="baseline"/>
              </w:rPr>
            </w:pPr>
            <w:r>
              <w:rPr>
                <w:rFonts w:hint="eastAsia"/>
                <w:sz w:val="20"/>
                <w:szCs w:val="20"/>
                <w:vertAlign w:val="baseline"/>
              </w:rPr>
              <w:t>2 (</w:t>
            </w: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0-</w:t>
            </w:r>
            <w:r>
              <w:rPr>
                <w:rFonts w:hint="eastAsia"/>
                <w:sz w:val="20"/>
                <w:szCs w:val="20"/>
                <w:vertAlign w:val="baseline"/>
              </w:rPr>
              <w:t>6)</w:t>
            </w:r>
          </w:p>
        </w:tc>
      </w:tr>
      <w:tr w14:paraId="4FB316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2C282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Operative time（median (range), min）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7C7CAB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</w:rPr>
              <w:t>30</w:t>
            </w: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 (20-60)</w:t>
            </w:r>
          </w:p>
        </w:tc>
      </w:tr>
      <w:tr w14:paraId="4CA959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33B9B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Postoperative hospital stay（median (range), day）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348BD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0"/>
                <w:szCs w:val="20"/>
                <w:vertAlign w:val="baseline"/>
              </w:rPr>
            </w:pPr>
            <w:r>
              <w:rPr>
                <w:rFonts w:hint="eastAsia"/>
                <w:sz w:val="20"/>
                <w:szCs w:val="20"/>
                <w:vertAlign w:val="baseline"/>
              </w:rPr>
              <w:t>5.5</w:t>
            </w: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20"/>
                <w:szCs w:val="20"/>
                <w:vertAlign w:val="baseline"/>
              </w:rPr>
              <w:t>(4-7)</w:t>
            </w:r>
          </w:p>
        </w:tc>
      </w:tr>
      <w:tr w14:paraId="4F7130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5F4D5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Postoperative complications（%）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3A8E1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0</w:t>
            </w:r>
          </w:p>
        </w:tc>
      </w:tr>
      <w:tr w14:paraId="47C744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08EA0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Postoperative follow-up duration（median (range), month）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759FC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12 (10-18)</w:t>
            </w:r>
          </w:p>
        </w:tc>
      </w:tr>
      <w:tr w14:paraId="2E1CE28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553D7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Residual lesion（%）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7F419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0</w:t>
            </w:r>
          </w:p>
        </w:tc>
      </w:tr>
      <w:tr w14:paraId="4CEC24C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41" w:type="dxa"/>
            <w:tcBorders>
              <w:tl2br w:val="nil"/>
              <w:tr2bl w:val="nil"/>
            </w:tcBorders>
            <w:vAlign w:val="center"/>
          </w:tcPr>
          <w:p w14:paraId="1AE8D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Lesion recurrence（%）</w:t>
            </w:r>
          </w:p>
        </w:tc>
        <w:tc>
          <w:tcPr>
            <w:tcW w:w="2481" w:type="dxa"/>
            <w:tcBorders>
              <w:tl2br w:val="nil"/>
              <w:tr2bl w:val="nil"/>
            </w:tcBorders>
            <w:vAlign w:val="center"/>
          </w:tcPr>
          <w:p w14:paraId="4D823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eastAsiaTheme="minor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  <w:t>0</w:t>
            </w:r>
          </w:p>
        </w:tc>
      </w:tr>
    </w:tbl>
    <w:p w14:paraId="0ECC13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7130A6"/>
    <w:rsid w:val="1D1D2D7B"/>
    <w:rsid w:val="49861AA1"/>
    <w:rsid w:val="51204104"/>
    <w:rsid w:val="639B133B"/>
    <w:rsid w:val="6DD3307B"/>
    <w:rsid w:val="7D1F699E"/>
    <w:rsid w:val="7D400BA6"/>
    <w:rsid w:val="7D557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86</Words>
  <Characters>187</Characters>
  <Lines>0</Lines>
  <Paragraphs>0</Paragraphs>
  <TotalTime>0</TotalTime>
  <ScaleCrop>false</ScaleCrop>
  <LinksUpToDate>false</LinksUpToDate>
  <CharactersWithSpaces>201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2026-08-30T08:59:00Z</dcterms:created>
  <dc:creator>华为</dc:creator>
  <cp:lastModifiedBy>马安南</cp:lastModifiedBy>
  <dcterms:modified xsi:type="dcterms:W3CDTF">2026-09-02T05:44:48Z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eyJoZGlkIjoiOWU5MTdhZTVkMGVlMzlkYzY1OTE0NTgxYmFmNjJiYjQiLCJ1c2VySWQiOiIxMTMwNzMyMjUwIn0=</vt:lpwstr>
  </property>
  <property fmtid="{D5CDD505-2E9C-101B-9397-08002B2CF9AE}" pid="4" name="ICV">
    <vt:lpwstr>0C4F0A87EA2C4ADC8EE79AB686F51C0E_13</vt:lpwstr>
  </property>
</Properties>
</file>