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76" w:lineRule="auto" w:after="0"/>
        <w:jc w:val="center"/>
      </w:pPr>
      <w:r>
        <w:rPr>
          <w:rFonts w:ascii="Times New Roman" w:hAnsi="Times New Roman" w:eastAsia="Times New Roman"/>
          <w:b/>
          <w:color w:val="000000"/>
          <w:sz w:val="24"/>
        </w:rPr>
        <w:t>Supplementary Material</w:t>
      </w:r>
    </w:p>
    <w:p>
      <w:pPr>
        <w:spacing w:line="276" w:lineRule="auto" w:after="0"/>
        <w:jc w:val="center"/>
      </w:pPr>
      <w:r>
        <w:rPr>
          <w:rFonts w:ascii="Times New Roman" w:hAnsi="Times New Roman" w:eastAsia="Times New Roman"/>
          <w:color w:val="000000"/>
          <w:sz w:val="24"/>
        </w:rPr>
        <w:t>When Silence Is Not Exit: What Publication-Affiliation Traces Can and Cannot Reveal About Researcher Mobility in Oman, Qatar, and the United Arab Emirates</w:t>
      </w:r>
    </w:p>
    <w:p>
      <w:pPr>
        <w:spacing w:line="480" w:lineRule="auto" w:after="0"/>
      </w:pPr>
      <w:r>
        <w:rPr>
          <w:rFonts w:ascii="Times New Roman" w:hAnsi="Times New Roman" w:eastAsia="Times New Roman"/>
          <w:color w:val="000000"/>
          <w:sz w:val="24"/>
        </w:rPr>
        <w:t>Supplementary tables contain complete model output and sensitivity results referenced in the main text. Labels have been converted from software variable names to reader-facing descriptions.</w:t>
      </w:r>
    </w:p>
    <w:p>
      <w:pPr>
        <w:pStyle w:val="Heading1"/>
        <w:spacing w:line="480" w:lineRule="auto" w:after="0"/>
      </w:pPr>
      <w:r>
        <w:rPr>
          <w:rFonts w:ascii="Times New Roman" w:hAnsi="Times New Roman" w:eastAsia="Times New Roman"/>
          <w:color w:val="000000"/>
          <w:sz w:val="28"/>
        </w:rPr>
        <w:t>Table S1. Complete adjusted visibility-conditioned country-by-time odds ratios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45"/>
        <w:gridCol w:w="2045"/>
        <w:gridCol w:w="2045"/>
        <w:gridCol w:w="2045"/>
        <w:gridCol w:w="2045"/>
      </w:tblGrid>
      <w:tr>
        <w:trPr>
          <w:tblHeader w:val="true"/>
        </w:trPr>
        <w:tc>
          <w:tcPr>
            <w:tcW w:type="dxa" w:w="2045"/>
            <w:shd w:fill="FFFFFF" w:color="auto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Country contrast</w:t>
            </w:r>
          </w:p>
        </w:tc>
        <w:tc>
          <w:tcPr>
            <w:tcW w:type="dxa" w:w="2045"/>
            <w:shd w:fill="FFFFFF" w:color="auto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Year after entry</w:t>
            </w:r>
          </w:p>
        </w:tc>
        <w:tc>
          <w:tcPr>
            <w:tcW w:type="dxa" w:w="2045"/>
            <w:shd w:fill="FFFFFF" w:color="auto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Adjusted OR</w:t>
            </w:r>
          </w:p>
        </w:tc>
        <w:tc>
          <w:tcPr>
            <w:tcW w:type="dxa" w:w="2045"/>
            <w:shd w:fill="FFFFFF" w:color="auto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95% CI</w:t>
            </w:r>
          </w:p>
        </w:tc>
        <w:tc>
          <w:tcPr>
            <w:tcW w:type="dxa" w:w="2045"/>
            <w:shd w:fill="FFFFFF" w:color="auto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Observed opportunities</w:t>
            </w:r>
          </w:p>
        </w:tc>
      </w:tr>
      <w:tr>
        <w:tc>
          <w:tcPr>
            <w:tcW w:type="dxa" w:w="204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Qatar vs Oman</w:t>
            </w:r>
          </w:p>
        </w:tc>
        <w:tc>
          <w:tcPr>
            <w:tcW w:type="dxa" w:w="204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</w:t>
            </w:r>
          </w:p>
        </w:tc>
        <w:tc>
          <w:tcPr>
            <w:tcW w:type="dxa" w:w="204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0.95</w:t>
            </w:r>
          </w:p>
        </w:tc>
        <w:tc>
          <w:tcPr>
            <w:tcW w:type="dxa" w:w="204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0.85–1.07</w:t>
            </w:r>
          </w:p>
        </w:tc>
        <w:tc>
          <w:tcPr>
            <w:tcW w:type="dxa" w:w="204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16,822</w:t>
            </w:r>
          </w:p>
        </w:tc>
      </w:tr>
      <w:tr>
        <w:tc>
          <w:tcPr>
            <w:tcW w:type="dxa" w:w="204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Qatar vs Oman</w:t>
            </w:r>
          </w:p>
        </w:tc>
        <w:tc>
          <w:tcPr>
            <w:tcW w:type="dxa" w:w="204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2</w:t>
            </w:r>
          </w:p>
        </w:tc>
        <w:tc>
          <w:tcPr>
            <w:tcW w:type="dxa" w:w="204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0.94</w:t>
            </w:r>
          </w:p>
        </w:tc>
        <w:tc>
          <w:tcPr>
            <w:tcW w:type="dxa" w:w="204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0.80–1.10</w:t>
            </w:r>
          </w:p>
        </w:tc>
        <w:tc>
          <w:tcPr>
            <w:tcW w:type="dxa" w:w="204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13,599</w:t>
            </w:r>
          </w:p>
        </w:tc>
      </w:tr>
      <w:tr>
        <w:tc>
          <w:tcPr>
            <w:tcW w:type="dxa" w:w="204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Qatar vs Oman</w:t>
            </w:r>
          </w:p>
        </w:tc>
        <w:tc>
          <w:tcPr>
            <w:tcW w:type="dxa" w:w="204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3</w:t>
            </w:r>
          </w:p>
        </w:tc>
        <w:tc>
          <w:tcPr>
            <w:tcW w:type="dxa" w:w="204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1.19</w:t>
            </w:r>
          </w:p>
        </w:tc>
        <w:tc>
          <w:tcPr>
            <w:tcW w:type="dxa" w:w="204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0.99–1.43</w:t>
            </w:r>
          </w:p>
        </w:tc>
        <w:tc>
          <w:tcPr>
            <w:tcW w:type="dxa" w:w="204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11,975</w:t>
            </w:r>
          </w:p>
        </w:tc>
      </w:tr>
      <w:tr>
        <w:tc>
          <w:tcPr>
            <w:tcW w:type="dxa" w:w="204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Qatar vs Oman</w:t>
            </w:r>
          </w:p>
        </w:tc>
        <w:tc>
          <w:tcPr>
            <w:tcW w:type="dxa" w:w="204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4</w:t>
            </w:r>
          </w:p>
        </w:tc>
        <w:tc>
          <w:tcPr>
            <w:tcW w:type="dxa" w:w="204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1.23</w:t>
            </w:r>
          </w:p>
        </w:tc>
        <w:tc>
          <w:tcPr>
            <w:tcW w:type="dxa" w:w="204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1.01–1.49</w:t>
            </w:r>
          </w:p>
        </w:tc>
        <w:tc>
          <w:tcPr>
            <w:tcW w:type="dxa" w:w="204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10,938</w:t>
            </w:r>
          </w:p>
        </w:tc>
      </w:tr>
      <w:tr>
        <w:tc>
          <w:tcPr>
            <w:tcW w:type="dxa" w:w="204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Qatar vs Oman</w:t>
            </w:r>
          </w:p>
        </w:tc>
        <w:tc>
          <w:tcPr>
            <w:tcW w:type="dxa" w:w="204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5</w:t>
            </w:r>
          </w:p>
        </w:tc>
        <w:tc>
          <w:tcPr>
            <w:tcW w:type="dxa" w:w="204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1.13</w:t>
            </w:r>
          </w:p>
        </w:tc>
        <w:tc>
          <w:tcPr>
            <w:tcW w:type="dxa" w:w="204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0.93–1.37</w:t>
            </w:r>
          </w:p>
        </w:tc>
        <w:tc>
          <w:tcPr>
            <w:tcW w:type="dxa" w:w="204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10,216</w:t>
            </w:r>
          </w:p>
        </w:tc>
      </w:tr>
      <w:tr>
        <w:tc>
          <w:tcPr>
            <w:tcW w:type="dxa" w:w="204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Qatar vs Oman</w:t>
            </w:r>
          </w:p>
        </w:tc>
        <w:tc>
          <w:tcPr>
            <w:tcW w:type="dxa" w:w="204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6</w:t>
            </w:r>
          </w:p>
        </w:tc>
        <w:tc>
          <w:tcPr>
            <w:tcW w:type="dxa" w:w="204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1.01</w:t>
            </w:r>
          </w:p>
        </w:tc>
        <w:tc>
          <w:tcPr>
            <w:tcW w:type="dxa" w:w="204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0.81–1.26</w:t>
            </w:r>
          </w:p>
        </w:tc>
        <w:tc>
          <w:tcPr>
            <w:tcW w:type="dxa" w:w="204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7,888</w:t>
            </w:r>
          </w:p>
        </w:tc>
      </w:tr>
      <w:tr>
        <w:tc>
          <w:tcPr>
            <w:tcW w:type="dxa" w:w="204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Qatar vs Oman</w:t>
            </w:r>
          </w:p>
        </w:tc>
        <w:tc>
          <w:tcPr>
            <w:tcW w:type="dxa" w:w="204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7</w:t>
            </w:r>
          </w:p>
        </w:tc>
        <w:tc>
          <w:tcPr>
            <w:tcW w:type="dxa" w:w="204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0.97</w:t>
            </w:r>
          </w:p>
        </w:tc>
        <w:tc>
          <w:tcPr>
            <w:tcW w:type="dxa" w:w="204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0.75–1.25</w:t>
            </w:r>
          </w:p>
        </w:tc>
        <w:tc>
          <w:tcPr>
            <w:tcW w:type="dxa" w:w="204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6,029</w:t>
            </w:r>
          </w:p>
        </w:tc>
      </w:tr>
      <w:tr>
        <w:tc>
          <w:tcPr>
            <w:tcW w:type="dxa" w:w="204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Qatar vs Oman</w:t>
            </w:r>
          </w:p>
        </w:tc>
        <w:tc>
          <w:tcPr>
            <w:tcW w:type="dxa" w:w="204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8</w:t>
            </w:r>
          </w:p>
        </w:tc>
        <w:tc>
          <w:tcPr>
            <w:tcW w:type="dxa" w:w="204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1.13</w:t>
            </w:r>
          </w:p>
        </w:tc>
        <w:tc>
          <w:tcPr>
            <w:tcW w:type="dxa" w:w="204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0.84–1.52</w:t>
            </w:r>
          </w:p>
        </w:tc>
        <w:tc>
          <w:tcPr>
            <w:tcW w:type="dxa" w:w="204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4,779</w:t>
            </w:r>
          </w:p>
        </w:tc>
      </w:tr>
      <w:tr>
        <w:tc>
          <w:tcPr>
            <w:tcW w:type="dxa" w:w="204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Qatar vs Oman</w:t>
            </w:r>
          </w:p>
        </w:tc>
        <w:tc>
          <w:tcPr>
            <w:tcW w:type="dxa" w:w="204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9</w:t>
            </w:r>
          </w:p>
        </w:tc>
        <w:tc>
          <w:tcPr>
            <w:tcW w:type="dxa" w:w="204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0.68</w:t>
            </w:r>
          </w:p>
        </w:tc>
        <w:tc>
          <w:tcPr>
            <w:tcW w:type="dxa" w:w="204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0.49–0.94</w:t>
            </w:r>
          </w:p>
        </w:tc>
        <w:tc>
          <w:tcPr>
            <w:tcW w:type="dxa" w:w="204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3,796</w:t>
            </w:r>
          </w:p>
        </w:tc>
      </w:tr>
      <w:tr>
        <w:tc>
          <w:tcPr>
            <w:tcW w:type="dxa" w:w="204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Qatar vs Oman</w:t>
            </w:r>
          </w:p>
        </w:tc>
        <w:tc>
          <w:tcPr>
            <w:tcW w:type="dxa" w:w="204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10</w:t>
            </w:r>
          </w:p>
        </w:tc>
        <w:tc>
          <w:tcPr>
            <w:tcW w:type="dxa" w:w="204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1.09</w:t>
            </w:r>
          </w:p>
        </w:tc>
        <w:tc>
          <w:tcPr>
            <w:tcW w:type="dxa" w:w="204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0.72–1.64</w:t>
            </w:r>
          </w:p>
        </w:tc>
        <w:tc>
          <w:tcPr>
            <w:tcW w:type="dxa" w:w="204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2,801</w:t>
            </w:r>
          </w:p>
        </w:tc>
      </w:tr>
      <w:tr>
        <w:tc>
          <w:tcPr>
            <w:tcW w:type="dxa" w:w="204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Qatar vs Oman</w:t>
            </w:r>
          </w:p>
        </w:tc>
        <w:tc>
          <w:tcPr>
            <w:tcW w:type="dxa" w:w="204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11</w:t>
            </w:r>
          </w:p>
        </w:tc>
        <w:tc>
          <w:tcPr>
            <w:tcW w:type="dxa" w:w="204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1.18</w:t>
            </w:r>
          </w:p>
        </w:tc>
        <w:tc>
          <w:tcPr>
            <w:tcW w:type="dxa" w:w="204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0.74–1.87</w:t>
            </w:r>
          </w:p>
        </w:tc>
        <w:tc>
          <w:tcPr>
            <w:tcW w:type="dxa" w:w="204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2,052</w:t>
            </w:r>
          </w:p>
        </w:tc>
      </w:tr>
      <w:tr>
        <w:tc>
          <w:tcPr>
            <w:tcW w:type="dxa" w:w="204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Qatar vs Oman</w:t>
            </w:r>
          </w:p>
        </w:tc>
        <w:tc>
          <w:tcPr>
            <w:tcW w:type="dxa" w:w="204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12</w:t>
            </w:r>
          </w:p>
        </w:tc>
        <w:tc>
          <w:tcPr>
            <w:tcW w:type="dxa" w:w="204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2.21</w:t>
            </w:r>
          </w:p>
        </w:tc>
        <w:tc>
          <w:tcPr>
            <w:tcW w:type="dxa" w:w="204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1.15–4.25</w:t>
            </w:r>
          </w:p>
        </w:tc>
        <w:tc>
          <w:tcPr>
            <w:tcW w:type="dxa" w:w="204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1,392</w:t>
            </w:r>
          </w:p>
        </w:tc>
      </w:tr>
      <w:tr>
        <w:tc>
          <w:tcPr>
            <w:tcW w:type="dxa" w:w="204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Qatar vs Oman</w:t>
            </w:r>
          </w:p>
        </w:tc>
        <w:tc>
          <w:tcPr>
            <w:tcW w:type="dxa" w:w="204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13</w:t>
            </w:r>
          </w:p>
        </w:tc>
        <w:tc>
          <w:tcPr>
            <w:tcW w:type="dxa" w:w="204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1.72</w:t>
            </w:r>
          </w:p>
        </w:tc>
        <w:tc>
          <w:tcPr>
            <w:tcW w:type="dxa" w:w="204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0.77–3.86</w:t>
            </w:r>
          </w:p>
        </w:tc>
        <w:tc>
          <w:tcPr>
            <w:tcW w:type="dxa" w:w="204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979</w:t>
            </w:r>
          </w:p>
        </w:tc>
      </w:tr>
      <w:tr>
        <w:tc>
          <w:tcPr>
            <w:tcW w:type="dxa" w:w="204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Qatar vs Oman</w:t>
            </w:r>
          </w:p>
        </w:tc>
        <w:tc>
          <w:tcPr>
            <w:tcW w:type="dxa" w:w="204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14</w:t>
            </w:r>
          </w:p>
        </w:tc>
        <w:tc>
          <w:tcPr>
            <w:tcW w:type="dxa" w:w="204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1.07</w:t>
            </w:r>
          </w:p>
        </w:tc>
        <w:tc>
          <w:tcPr>
            <w:tcW w:type="dxa" w:w="204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0.35–3.31</w:t>
            </w:r>
          </w:p>
        </w:tc>
        <w:tc>
          <w:tcPr>
            <w:tcW w:type="dxa" w:w="204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606</w:t>
            </w:r>
          </w:p>
        </w:tc>
      </w:tr>
      <w:tr>
        <w:tc>
          <w:tcPr>
            <w:tcW w:type="dxa" w:w="204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Qatar vs Oman</w:t>
            </w:r>
          </w:p>
        </w:tc>
        <w:tc>
          <w:tcPr>
            <w:tcW w:type="dxa" w:w="204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15</w:t>
            </w:r>
          </w:p>
        </w:tc>
        <w:tc>
          <w:tcPr>
            <w:tcW w:type="dxa" w:w="204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4.16</w:t>
            </w:r>
          </w:p>
        </w:tc>
        <w:tc>
          <w:tcPr>
            <w:tcW w:type="dxa" w:w="204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0.45–38.29</w:t>
            </w:r>
          </w:p>
        </w:tc>
        <w:tc>
          <w:tcPr>
            <w:tcW w:type="dxa" w:w="204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256</w:t>
            </w:r>
          </w:p>
        </w:tc>
      </w:tr>
      <w:tr>
        <w:tc>
          <w:tcPr>
            <w:tcW w:type="dxa" w:w="204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United Arab Emirates vs Oman</w:t>
            </w:r>
          </w:p>
        </w:tc>
        <w:tc>
          <w:tcPr>
            <w:tcW w:type="dxa" w:w="204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</w:t>
            </w:r>
          </w:p>
        </w:tc>
        <w:tc>
          <w:tcPr>
            <w:tcW w:type="dxa" w:w="204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0.94</w:t>
            </w:r>
          </w:p>
        </w:tc>
        <w:tc>
          <w:tcPr>
            <w:tcW w:type="dxa" w:w="204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0.85–1.05</w:t>
            </w:r>
          </w:p>
        </w:tc>
        <w:tc>
          <w:tcPr>
            <w:tcW w:type="dxa" w:w="204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16,822</w:t>
            </w:r>
          </w:p>
        </w:tc>
      </w:tr>
      <w:tr>
        <w:tc>
          <w:tcPr>
            <w:tcW w:type="dxa" w:w="204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United Arab Emirates vs Oman</w:t>
            </w:r>
          </w:p>
        </w:tc>
        <w:tc>
          <w:tcPr>
            <w:tcW w:type="dxa" w:w="204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2</w:t>
            </w:r>
          </w:p>
        </w:tc>
        <w:tc>
          <w:tcPr>
            <w:tcW w:type="dxa" w:w="204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0.88</w:t>
            </w:r>
          </w:p>
        </w:tc>
        <w:tc>
          <w:tcPr>
            <w:tcW w:type="dxa" w:w="204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0.76–1.02</w:t>
            </w:r>
          </w:p>
        </w:tc>
        <w:tc>
          <w:tcPr>
            <w:tcW w:type="dxa" w:w="204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13,599</w:t>
            </w:r>
          </w:p>
        </w:tc>
      </w:tr>
      <w:tr>
        <w:tc>
          <w:tcPr>
            <w:tcW w:type="dxa" w:w="204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United Arab Emirates vs Oman</w:t>
            </w:r>
          </w:p>
        </w:tc>
        <w:tc>
          <w:tcPr>
            <w:tcW w:type="dxa" w:w="204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3</w:t>
            </w:r>
          </w:p>
        </w:tc>
        <w:tc>
          <w:tcPr>
            <w:tcW w:type="dxa" w:w="204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0.99</w:t>
            </w:r>
          </w:p>
        </w:tc>
        <w:tc>
          <w:tcPr>
            <w:tcW w:type="dxa" w:w="204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0.84–1.18</w:t>
            </w:r>
          </w:p>
        </w:tc>
        <w:tc>
          <w:tcPr>
            <w:tcW w:type="dxa" w:w="204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11,975</w:t>
            </w:r>
          </w:p>
        </w:tc>
      </w:tr>
      <w:tr>
        <w:tc>
          <w:tcPr>
            <w:tcW w:type="dxa" w:w="204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United Arab Emirates vs Oman</w:t>
            </w:r>
          </w:p>
        </w:tc>
        <w:tc>
          <w:tcPr>
            <w:tcW w:type="dxa" w:w="204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4</w:t>
            </w:r>
          </w:p>
        </w:tc>
        <w:tc>
          <w:tcPr>
            <w:tcW w:type="dxa" w:w="204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1.09</w:t>
            </w:r>
          </w:p>
        </w:tc>
        <w:tc>
          <w:tcPr>
            <w:tcW w:type="dxa" w:w="204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0.91–1.30</w:t>
            </w:r>
          </w:p>
        </w:tc>
        <w:tc>
          <w:tcPr>
            <w:tcW w:type="dxa" w:w="204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10,938</w:t>
            </w:r>
          </w:p>
        </w:tc>
      </w:tr>
      <w:tr>
        <w:tc>
          <w:tcPr>
            <w:tcW w:type="dxa" w:w="204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United Arab Emirates vs Oman</w:t>
            </w:r>
          </w:p>
        </w:tc>
        <w:tc>
          <w:tcPr>
            <w:tcW w:type="dxa" w:w="204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5</w:t>
            </w:r>
          </w:p>
        </w:tc>
        <w:tc>
          <w:tcPr>
            <w:tcW w:type="dxa" w:w="204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0.91</w:t>
            </w:r>
          </w:p>
        </w:tc>
        <w:tc>
          <w:tcPr>
            <w:tcW w:type="dxa" w:w="204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0.77–1.09</w:t>
            </w:r>
          </w:p>
        </w:tc>
        <w:tc>
          <w:tcPr>
            <w:tcW w:type="dxa" w:w="204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10,216</w:t>
            </w:r>
          </w:p>
        </w:tc>
      </w:tr>
      <w:tr>
        <w:tc>
          <w:tcPr>
            <w:tcW w:type="dxa" w:w="204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United Arab Emirates vs Oman</w:t>
            </w:r>
          </w:p>
        </w:tc>
        <w:tc>
          <w:tcPr>
            <w:tcW w:type="dxa" w:w="204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6</w:t>
            </w:r>
          </w:p>
        </w:tc>
        <w:tc>
          <w:tcPr>
            <w:tcW w:type="dxa" w:w="204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0.79</w:t>
            </w:r>
          </w:p>
        </w:tc>
        <w:tc>
          <w:tcPr>
            <w:tcW w:type="dxa" w:w="204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0.65–0.97</w:t>
            </w:r>
          </w:p>
        </w:tc>
        <w:tc>
          <w:tcPr>
            <w:tcW w:type="dxa" w:w="204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7,888</w:t>
            </w:r>
          </w:p>
        </w:tc>
      </w:tr>
      <w:tr>
        <w:tc>
          <w:tcPr>
            <w:tcW w:type="dxa" w:w="204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United Arab Emirates vs Oman</w:t>
            </w:r>
          </w:p>
        </w:tc>
        <w:tc>
          <w:tcPr>
            <w:tcW w:type="dxa" w:w="204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7</w:t>
            </w:r>
          </w:p>
        </w:tc>
        <w:tc>
          <w:tcPr>
            <w:tcW w:type="dxa" w:w="204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1.01</w:t>
            </w:r>
          </w:p>
        </w:tc>
        <w:tc>
          <w:tcPr>
            <w:tcW w:type="dxa" w:w="204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0.80–1.28</w:t>
            </w:r>
          </w:p>
        </w:tc>
        <w:tc>
          <w:tcPr>
            <w:tcW w:type="dxa" w:w="204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6,029</w:t>
            </w:r>
          </w:p>
        </w:tc>
      </w:tr>
      <w:tr>
        <w:tc>
          <w:tcPr>
            <w:tcW w:type="dxa" w:w="204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United Arab Emirates vs Oman</w:t>
            </w:r>
          </w:p>
        </w:tc>
        <w:tc>
          <w:tcPr>
            <w:tcW w:type="dxa" w:w="204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8</w:t>
            </w:r>
          </w:p>
        </w:tc>
        <w:tc>
          <w:tcPr>
            <w:tcW w:type="dxa" w:w="204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0.88</w:t>
            </w:r>
          </w:p>
        </w:tc>
        <w:tc>
          <w:tcPr>
            <w:tcW w:type="dxa" w:w="204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0.67–1.16</w:t>
            </w:r>
          </w:p>
        </w:tc>
        <w:tc>
          <w:tcPr>
            <w:tcW w:type="dxa" w:w="204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4,779</w:t>
            </w:r>
          </w:p>
        </w:tc>
      </w:tr>
      <w:tr>
        <w:tc>
          <w:tcPr>
            <w:tcW w:type="dxa" w:w="204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United Arab Emirates vs Oman</w:t>
            </w:r>
          </w:p>
        </w:tc>
        <w:tc>
          <w:tcPr>
            <w:tcW w:type="dxa" w:w="204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9</w:t>
            </w:r>
          </w:p>
        </w:tc>
        <w:tc>
          <w:tcPr>
            <w:tcW w:type="dxa" w:w="204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0.60</w:t>
            </w:r>
          </w:p>
        </w:tc>
        <w:tc>
          <w:tcPr>
            <w:tcW w:type="dxa" w:w="204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0.45–0.80</w:t>
            </w:r>
          </w:p>
        </w:tc>
        <w:tc>
          <w:tcPr>
            <w:tcW w:type="dxa" w:w="204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3,796</w:t>
            </w:r>
          </w:p>
        </w:tc>
      </w:tr>
      <w:tr>
        <w:tc>
          <w:tcPr>
            <w:tcW w:type="dxa" w:w="204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United Arab Emirates vs Oman</w:t>
            </w:r>
          </w:p>
        </w:tc>
        <w:tc>
          <w:tcPr>
            <w:tcW w:type="dxa" w:w="204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10</w:t>
            </w:r>
          </w:p>
        </w:tc>
        <w:tc>
          <w:tcPr>
            <w:tcW w:type="dxa" w:w="204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0.77</w:t>
            </w:r>
          </w:p>
        </w:tc>
        <w:tc>
          <w:tcPr>
            <w:tcW w:type="dxa" w:w="204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0.52–1.13</w:t>
            </w:r>
          </w:p>
        </w:tc>
        <w:tc>
          <w:tcPr>
            <w:tcW w:type="dxa" w:w="204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2,801</w:t>
            </w:r>
          </w:p>
        </w:tc>
      </w:tr>
      <w:tr>
        <w:tc>
          <w:tcPr>
            <w:tcW w:type="dxa" w:w="204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United Arab Emirates vs Oman</w:t>
            </w:r>
          </w:p>
        </w:tc>
        <w:tc>
          <w:tcPr>
            <w:tcW w:type="dxa" w:w="204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11</w:t>
            </w:r>
          </w:p>
        </w:tc>
        <w:tc>
          <w:tcPr>
            <w:tcW w:type="dxa" w:w="204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0.55</w:t>
            </w:r>
          </w:p>
        </w:tc>
        <w:tc>
          <w:tcPr>
            <w:tcW w:type="dxa" w:w="204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0.35–0.87</w:t>
            </w:r>
          </w:p>
        </w:tc>
        <w:tc>
          <w:tcPr>
            <w:tcW w:type="dxa" w:w="204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2,052</w:t>
            </w:r>
          </w:p>
        </w:tc>
      </w:tr>
      <w:tr>
        <w:tc>
          <w:tcPr>
            <w:tcW w:type="dxa" w:w="204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United Arab Emirates vs Oman</w:t>
            </w:r>
          </w:p>
        </w:tc>
        <w:tc>
          <w:tcPr>
            <w:tcW w:type="dxa" w:w="204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12</w:t>
            </w:r>
          </w:p>
        </w:tc>
        <w:tc>
          <w:tcPr>
            <w:tcW w:type="dxa" w:w="204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0.96</w:t>
            </w:r>
          </w:p>
        </w:tc>
        <w:tc>
          <w:tcPr>
            <w:tcW w:type="dxa" w:w="204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0.51–1.82</w:t>
            </w:r>
          </w:p>
        </w:tc>
        <w:tc>
          <w:tcPr>
            <w:tcW w:type="dxa" w:w="204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1,392</w:t>
            </w:r>
          </w:p>
        </w:tc>
      </w:tr>
      <w:tr>
        <w:tc>
          <w:tcPr>
            <w:tcW w:type="dxa" w:w="204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United Arab Emirates vs Oman</w:t>
            </w:r>
          </w:p>
        </w:tc>
        <w:tc>
          <w:tcPr>
            <w:tcW w:type="dxa" w:w="204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13</w:t>
            </w:r>
          </w:p>
        </w:tc>
        <w:tc>
          <w:tcPr>
            <w:tcW w:type="dxa" w:w="204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1.44</w:t>
            </w:r>
          </w:p>
        </w:tc>
        <w:tc>
          <w:tcPr>
            <w:tcW w:type="dxa" w:w="204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0.70–3.00</w:t>
            </w:r>
          </w:p>
        </w:tc>
        <w:tc>
          <w:tcPr>
            <w:tcW w:type="dxa" w:w="204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979</w:t>
            </w:r>
          </w:p>
        </w:tc>
      </w:tr>
      <w:tr>
        <w:tc>
          <w:tcPr>
            <w:tcW w:type="dxa" w:w="204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United Arab Emirates vs Oman</w:t>
            </w:r>
          </w:p>
        </w:tc>
        <w:tc>
          <w:tcPr>
            <w:tcW w:type="dxa" w:w="204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14</w:t>
            </w:r>
          </w:p>
        </w:tc>
        <w:tc>
          <w:tcPr>
            <w:tcW w:type="dxa" w:w="204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0.80</w:t>
            </w:r>
          </w:p>
        </w:tc>
        <w:tc>
          <w:tcPr>
            <w:tcW w:type="dxa" w:w="204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0.31–2.08</w:t>
            </w:r>
          </w:p>
        </w:tc>
        <w:tc>
          <w:tcPr>
            <w:tcW w:type="dxa" w:w="204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606</w:t>
            </w:r>
          </w:p>
        </w:tc>
      </w:tr>
      <w:tr>
        <w:tc>
          <w:tcPr>
            <w:tcW w:type="dxa" w:w="204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United Arab Emirates vs Oman</w:t>
            </w:r>
          </w:p>
        </w:tc>
        <w:tc>
          <w:tcPr>
            <w:tcW w:type="dxa" w:w="204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15</w:t>
            </w:r>
          </w:p>
        </w:tc>
        <w:tc>
          <w:tcPr>
            <w:tcW w:type="dxa" w:w="204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2.98</w:t>
            </w:r>
          </w:p>
        </w:tc>
        <w:tc>
          <w:tcPr>
            <w:tcW w:type="dxa" w:w="204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0.35–25.01</w:t>
            </w:r>
          </w:p>
        </w:tc>
        <w:tc>
          <w:tcPr>
            <w:tcW w:type="dxa" w:w="2045"/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256</w:t>
            </w:r>
          </w:p>
        </w:tc>
      </w:tr>
    </w:tbl>
    <w:p>
      <w:pPr>
        <w:spacing w:line="480" w:lineRule="auto" w:after="0"/>
      </w:pPr>
      <w:r>
        <w:rPr>
          <w:rFonts w:ascii="Times New Roman" w:hAnsi="Times New Roman" w:eastAsia="Times New Roman"/>
          <w:color w:val="000000"/>
          <w:sz w:val="24"/>
        </w:rPr>
        <w:t>Note. Estimates are associational and describe publication-affiliation outcomes; they do not identify physical migration.</w:t>
      </w:r>
    </w:p>
    <w:p>
      <w:pPr>
        <w:pStyle w:val="Heading1"/>
        <w:spacing w:line="480" w:lineRule="auto" w:after="0"/>
      </w:pPr>
      <w:r>
        <w:rPr>
          <w:rFonts w:ascii="Times New Roman" w:hAnsi="Times New Roman" w:eastAsia="Times New Roman"/>
          <w:color w:val="000000"/>
          <w:sz w:val="28"/>
        </w:rPr>
        <w:t>Table S2. Broad ASJC field coefficients (reference category: Medicine)</w:t>
      </w:r>
    </w:p>
    <w:p>
      <w:pPr>
        <w:spacing w:line="480" w:lineRule="auto" w:after="0"/>
      </w:pPr>
    </w:p>
    <w:p>
      <w:pPr>
        <w:spacing w:line="480" w:lineRule="auto" w:after="0"/>
      </w:pPr>
      <w:r>
        <w:rPr>
          <w:rFonts w:ascii="Times New Roman" w:hAnsi="Times New Roman" w:eastAsia="Times New Roman"/>
          <w:color w:val="000000"/>
          <w:sz w:val="24"/>
        </w:rPr>
        <w:t>Note. Medicine is the reference field. The Unknown category (six spells) is omitted because complete separation made its terminal-transition coefficient unestimable; its completed-gap estimate is not interpreted.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rPr>
          <w:tblHeader w:val="true"/>
          <w:tblHeader w:val="true"/>
        </w:trPr>
        <w:tc>
          <w:tcPr>
            <w:tcW w:type="dxa" w:w="2160"/>
            <w:shd w:fill="FFFFFF" w:color="auto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Outcome</w:t>
            </w:r>
          </w:p>
        </w:tc>
        <w:tc>
          <w:tcPr>
            <w:tcW w:type="dxa" w:w="2160"/>
            <w:shd w:fill="FFFFFF" w:color="auto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Field term</w:t>
            </w:r>
          </w:p>
        </w:tc>
        <w:tc>
          <w:tcPr>
            <w:tcW w:type="dxa" w:w="2160"/>
            <w:shd w:fill="FFFFFF" w:color="auto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HR</w:t>
            </w:r>
          </w:p>
        </w:tc>
        <w:tc>
          <w:tcPr>
            <w:tcW w:type="dxa" w:w="2160"/>
            <w:shd w:fill="FFFFFF" w:color="auto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95% CI</w:t>
            </w:r>
          </w:p>
        </w:tc>
      </w:tr>
      <w:tr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Terminal foreign-affiliation transition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Arts and Humanities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1.86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1.46–2.36</w:t>
            </w:r>
          </w:p>
        </w:tc>
      </w:tr>
      <w:tr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Terminal foreign-affiliation transition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Biochemistry, Genetics and Molecular Biology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0.50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0.37–0.67</w:t>
            </w:r>
          </w:p>
        </w:tc>
      </w:tr>
      <w:tr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Terminal foreign-affiliation transition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Business, Management and Accounting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1.50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1.22–1.84</w:t>
            </w:r>
          </w:p>
        </w:tc>
      </w:tr>
      <w:tr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Terminal foreign-affiliation transition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Chemical Engineering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1.45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1.13–1.87</w:t>
            </w:r>
          </w:p>
        </w:tc>
      </w:tr>
      <w:tr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Terminal foreign-affiliation transition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Chemistry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1.31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1.06–1.62</w:t>
            </w:r>
          </w:p>
        </w:tc>
      </w:tr>
      <w:tr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Terminal foreign-affiliation transition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Computer Science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1.76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1.49–2.09</w:t>
            </w:r>
          </w:p>
        </w:tc>
      </w:tr>
      <w:tr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Terminal foreign-affiliation transition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Decision Sciences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1.02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0.75–1.39</w:t>
            </w:r>
          </w:p>
        </w:tc>
      </w:tr>
      <w:tr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Terminal foreign-affiliation transition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Dentistry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0.66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0.48–0.91</w:t>
            </w:r>
          </w:p>
        </w:tc>
      </w:tr>
      <w:tr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Terminal foreign-affiliation transition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Earth and Planetary Sciences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1.39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1.17–1.67</w:t>
            </w:r>
          </w:p>
        </w:tc>
      </w:tr>
      <w:tr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Terminal foreign-affiliation transition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Economics, Econometrics and Finance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1.18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0.94–1.47</w:t>
            </w:r>
          </w:p>
        </w:tc>
      </w:tr>
      <w:tr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Terminal foreign-affiliation transition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Energy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1.34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1.13–1.60</w:t>
            </w:r>
          </w:p>
        </w:tc>
      </w:tr>
      <w:tr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Terminal foreign-affiliation transition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Engineering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1.58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1.34–1.86</w:t>
            </w:r>
          </w:p>
        </w:tc>
      </w:tr>
      <w:tr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Terminal foreign-affiliation transition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Environmental Science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0.90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0.73–1.12</w:t>
            </w:r>
          </w:p>
        </w:tc>
      </w:tr>
      <w:tr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Terminal foreign-affiliation transition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Health Professions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1.06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0.82–1.38</w:t>
            </w:r>
          </w:p>
        </w:tc>
      </w:tr>
      <w:tr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Terminal foreign-affiliation transition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Immunology and Microbiology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0.60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0.39–0.93</w:t>
            </w:r>
          </w:p>
        </w:tc>
      </w:tr>
      <w:tr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Terminal foreign-affiliation transition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Materials Science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1.37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1.13–1.66</w:t>
            </w:r>
          </w:p>
        </w:tc>
      </w:tr>
      <w:tr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Terminal foreign-affiliation transition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Mathematics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1.10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0.89–1.37</w:t>
            </w:r>
          </w:p>
        </w:tc>
      </w:tr>
      <w:tr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Terminal foreign-affiliation transition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Medicine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0.94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0.80–1.11</w:t>
            </w:r>
          </w:p>
        </w:tc>
      </w:tr>
      <w:tr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Terminal foreign-affiliation transition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Multidisciplinary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0.54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0.29–1.02</w:t>
            </w:r>
          </w:p>
        </w:tc>
      </w:tr>
      <w:tr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Terminal foreign-affiliation transition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Neuroscience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0.57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0.36–0.90</w:t>
            </w:r>
          </w:p>
        </w:tc>
      </w:tr>
      <w:tr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Terminal foreign-affiliation transition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Nursing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0.56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0.38–0.82</w:t>
            </w:r>
          </w:p>
        </w:tc>
      </w:tr>
      <w:tr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Terminal foreign-affiliation transition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Pharmacology, Toxicology and Pharmaceutics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0.69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0.53–0.89</w:t>
            </w:r>
          </w:p>
        </w:tc>
      </w:tr>
      <w:tr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Terminal foreign-affiliation transition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Physics and Astronomy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1.22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1.00–1.47</w:t>
            </w:r>
          </w:p>
        </w:tc>
      </w:tr>
      <w:tr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Terminal foreign-affiliation transition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Psychology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1.11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0.78–1.59</w:t>
            </w:r>
          </w:p>
        </w:tc>
      </w:tr>
      <w:tr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Terminal foreign-affiliation transition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Social Sciences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1.16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0.97–1.37</w:t>
            </w:r>
          </w:p>
        </w:tc>
      </w:tr>
      <w:tr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Terminal foreign-affiliation transition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Veterinary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0.79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0.55–1.12</w:t>
            </w:r>
          </w:p>
        </w:tc>
      </w:tr>
      <w:tr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Publication disappearance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Arts and Humanities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0.71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0.58–0.87</w:t>
            </w:r>
          </w:p>
        </w:tc>
      </w:tr>
      <w:tr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Publication disappearance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Biochemistry, Genetics and Molecular Biology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1.33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1.15–1.54</w:t>
            </w:r>
          </w:p>
        </w:tc>
      </w:tr>
      <w:tr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Publication disappearance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Business, Management and Accounting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0.69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0.60–0.80</w:t>
            </w:r>
          </w:p>
        </w:tc>
      </w:tr>
      <w:tr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Publication disappearance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Chemical Engineering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0.62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0.51–0.75</w:t>
            </w:r>
          </w:p>
        </w:tc>
      </w:tr>
      <w:tr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Publication disappearance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Chemistry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0.96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0.84–1.10</w:t>
            </w:r>
          </w:p>
        </w:tc>
      </w:tr>
      <w:tr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Publication disappearance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Computer Science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0.71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0.64–0.79</w:t>
            </w:r>
          </w:p>
        </w:tc>
      </w:tr>
      <w:tr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Publication disappearance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Decision Sciences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1.42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1.23–1.65</w:t>
            </w:r>
          </w:p>
        </w:tc>
      </w:tr>
      <w:tr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Publication disappearance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Dentistry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1.32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1.15–1.52</w:t>
            </w:r>
          </w:p>
        </w:tc>
      </w:tr>
      <w:tr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Publication disappearance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Earth and Planetary Sciences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0.93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0.84–1.03</w:t>
            </w:r>
          </w:p>
        </w:tc>
      </w:tr>
      <w:tr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Publication disappearance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Economics, Econometrics and Finance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0.91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0.79–1.04</w:t>
            </w:r>
          </w:p>
        </w:tc>
      </w:tr>
      <w:tr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Publication disappearance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Energy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1.02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0.92–1.13</w:t>
            </w:r>
          </w:p>
        </w:tc>
      </w:tr>
      <w:tr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Publication disappearance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Engineering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1.16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1.05–1.28</w:t>
            </w:r>
          </w:p>
        </w:tc>
      </w:tr>
      <w:tr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Publication disappearance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Environmental Science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1.38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1.24–1.54</w:t>
            </w:r>
          </w:p>
        </w:tc>
      </w:tr>
      <w:tr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Publication disappearance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Health Professions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1.22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1.06–1.40</w:t>
            </w:r>
          </w:p>
        </w:tc>
      </w:tr>
      <w:tr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Publication disappearance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Immunology and Microbiology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1.64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1.36–1.97</w:t>
            </w:r>
          </w:p>
        </w:tc>
      </w:tr>
      <w:tr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Publication disappearance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Materials Science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1.14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1.02–1.27</w:t>
            </w:r>
          </w:p>
        </w:tc>
      </w:tr>
      <w:tr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Publication disappearance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Mathematics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1.33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1.18–1.49</w:t>
            </w:r>
          </w:p>
        </w:tc>
      </w:tr>
      <w:tr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Publication disappearance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Medicine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0.83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0.76–0.91</w:t>
            </w:r>
          </w:p>
        </w:tc>
      </w:tr>
      <w:tr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Publication disappearance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Multidisciplinary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2.01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1.67–2.42</w:t>
            </w:r>
          </w:p>
        </w:tc>
      </w:tr>
      <w:tr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Publication disappearance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Neuroscience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1.55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1.32–1.83</w:t>
            </w:r>
          </w:p>
        </w:tc>
      </w:tr>
      <w:tr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Publication disappearance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Nursing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1.53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1.34–1.75</w:t>
            </w:r>
          </w:p>
        </w:tc>
      </w:tr>
      <w:tr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Publication disappearance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Pharmacology, Toxicology and Pharmaceutics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1.56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1.39–1.75</w:t>
            </w:r>
          </w:p>
        </w:tc>
      </w:tr>
      <w:tr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Publication disappearance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Physics and Astronomy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1.27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1.14–1.41</w:t>
            </w:r>
          </w:p>
        </w:tc>
      </w:tr>
      <w:tr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Publication disappearance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Psychology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1.22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1.01–1.49</w:t>
            </w:r>
          </w:p>
        </w:tc>
      </w:tr>
      <w:tr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Publication disappearance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Social Sciences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1.02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0.93–1.13</w:t>
            </w:r>
          </w:p>
        </w:tc>
      </w:tr>
      <w:tr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Publication disappearance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Veterinary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1.12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0.95–1.32</w:t>
            </w:r>
          </w:p>
        </w:tc>
      </w:tr>
    </w:tbl>
    <w:p>
      <w:pPr>
        <w:spacing w:line="480" w:lineRule="auto" w:after="0"/>
      </w:pPr>
      <w:r>
        <w:rPr>
          <w:rFonts w:ascii="Times New Roman" w:hAnsi="Times New Roman" w:eastAsia="Times New Roman"/>
          <w:color w:val="000000"/>
          <w:sz w:val="24"/>
        </w:rPr>
        <w:t>Note. Estimates are associational and describe publication-affiliation outcomes; they do not identify physical migration.</w:t>
      </w:r>
    </w:p>
    <w:p>
      <w:pPr>
        <w:pStyle w:val="Heading1"/>
        <w:spacing w:line="480" w:lineRule="auto" w:after="0"/>
      </w:pPr>
      <w:r>
        <w:rPr>
          <w:rFonts w:ascii="Times New Roman" w:hAnsi="Times New Roman" w:eastAsia="Times New Roman"/>
          <w:color w:val="000000"/>
          <w:sz w:val="28"/>
        </w:rPr>
        <w:t>Table S3. Discrete-time model sensitivity excluding academic age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rPr>
          <w:tblHeader w:val="true"/>
          <w:tblHeader w:val="true"/>
        </w:trPr>
        <w:tc>
          <w:tcPr>
            <w:tcW w:type="dxa" w:w="1234"/>
            <w:shd w:fill="FFFFFF" w:color="auto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Outcome</w:t>
            </w:r>
          </w:p>
        </w:tc>
        <w:tc>
          <w:tcPr>
            <w:tcW w:type="dxa" w:w="1234"/>
            <w:shd w:fill="FFFFFF" w:color="auto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Term</w:t>
            </w:r>
          </w:p>
        </w:tc>
        <w:tc>
          <w:tcPr>
            <w:tcW w:type="dxa" w:w="1234"/>
            <w:shd w:fill="FFFFFF" w:color="auto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HR</w:t>
            </w:r>
          </w:p>
        </w:tc>
        <w:tc>
          <w:tcPr>
            <w:tcW w:type="dxa" w:w="1234"/>
            <w:shd w:fill="FFFFFF" w:color="auto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95% CI</w:t>
            </w:r>
          </w:p>
        </w:tc>
        <w:tc>
          <w:tcPr>
            <w:tcW w:type="dxa" w:w="1234"/>
            <w:shd w:fill="FFFFFF" w:color="auto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Person-years</w:t>
            </w:r>
          </w:p>
        </w:tc>
        <w:tc>
          <w:tcPr>
            <w:tcW w:type="dxa" w:w="1234"/>
            <w:shd w:fill="FFFFFF" w:color="auto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Spells</w:t>
            </w:r>
          </w:p>
        </w:tc>
        <w:tc>
          <w:tcPr>
            <w:tcW w:type="dxa" w:w="1234"/>
            <w:shd w:fill="FFFFFF" w:color="auto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Authors</w:t>
            </w:r>
          </w:p>
        </w:tc>
      </w:tr>
      <w:tr>
        <w:tc>
          <w:tcPr>
            <w:tcW w:type="dxa" w:w="123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Terminal foreign-affiliation transition</w:t>
            </w:r>
          </w:p>
        </w:tc>
        <w:tc>
          <w:tcPr>
            <w:tcW w:type="dxa" w:w="123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Entry-year target publications (log, standardized)</w:t>
            </w:r>
          </w:p>
        </w:tc>
        <w:tc>
          <w:tcPr>
            <w:tcW w:type="dxa" w:w="123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0.95</w:t>
            </w:r>
          </w:p>
        </w:tc>
        <w:tc>
          <w:tcPr>
            <w:tcW w:type="dxa" w:w="123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0.93–0.97</w:t>
            </w:r>
          </w:p>
        </w:tc>
        <w:tc>
          <w:tcPr>
            <w:tcW w:type="dxa" w:w="123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244,845</w:t>
            </w:r>
          </w:p>
        </w:tc>
        <w:tc>
          <w:tcPr>
            <w:tcW w:type="dxa" w:w="123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49,587</w:t>
            </w:r>
          </w:p>
        </w:tc>
        <w:tc>
          <w:tcPr>
            <w:tcW w:type="dxa" w:w="123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49,270</w:t>
            </w:r>
          </w:p>
        </w:tc>
      </w:tr>
      <w:tr>
        <w:tc>
          <w:tcPr>
            <w:tcW w:type="dxa" w:w="123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Terminal foreign-affiliation transition</w:t>
            </w:r>
          </w:p>
        </w:tc>
        <w:tc>
          <w:tcPr>
            <w:tcW w:type="dxa" w:w="123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entry_international_collaboration_share_z</w:t>
            </w:r>
          </w:p>
        </w:tc>
        <w:tc>
          <w:tcPr>
            <w:tcW w:type="dxa" w:w="123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1.27</w:t>
            </w:r>
          </w:p>
        </w:tc>
        <w:tc>
          <w:tcPr>
            <w:tcW w:type="dxa" w:w="123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1.24–1.30</w:t>
            </w:r>
          </w:p>
        </w:tc>
        <w:tc>
          <w:tcPr>
            <w:tcW w:type="dxa" w:w="123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244,845</w:t>
            </w:r>
          </w:p>
        </w:tc>
        <w:tc>
          <w:tcPr>
            <w:tcW w:type="dxa" w:w="123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49,587</w:t>
            </w:r>
          </w:p>
        </w:tc>
        <w:tc>
          <w:tcPr>
            <w:tcW w:type="dxa" w:w="123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49,270</w:t>
            </w:r>
          </w:p>
        </w:tc>
      </w:tr>
      <w:tr>
        <w:tc>
          <w:tcPr>
            <w:tcW w:type="dxa" w:w="123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Terminal foreign-affiliation transition</w:t>
            </w:r>
          </w:p>
        </w:tc>
        <w:tc>
          <w:tcPr>
            <w:tcW w:type="dxa" w:w="123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Mean entry-year team size (log, standardized)</w:t>
            </w:r>
          </w:p>
        </w:tc>
        <w:tc>
          <w:tcPr>
            <w:tcW w:type="dxa" w:w="123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0.93</w:t>
            </w:r>
          </w:p>
        </w:tc>
        <w:tc>
          <w:tcPr>
            <w:tcW w:type="dxa" w:w="123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0.90–0.95</w:t>
            </w:r>
          </w:p>
        </w:tc>
        <w:tc>
          <w:tcPr>
            <w:tcW w:type="dxa" w:w="123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244,845</w:t>
            </w:r>
          </w:p>
        </w:tc>
        <w:tc>
          <w:tcPr>
            <w:tcW w:type="dxa" w:w="123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49,587</w:t>
            </w:r>
          </w:p>
        </w:tc>
        <w:tc>
          <w:tcPr>
            <w:tcW w:type="dxa" w:w="123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49,270</w:t>
            </w:r>
          </w:p>
        </w:tc>
      </w:tr>
      <w:tr>
        <w:tc>
          <w:tcPr>
            <w:tcW w:type="dxa" w:w="123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Terminal foreign-affiliation transition</w:t>
            </w:r>
          </w:p>
        </w:tc>
        <w:tc>
          <w:tcPr>
            <w:tcW w:type="dxa" w:w="123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entry_coaffiliated</w:t>
            </w:r>
          </w:p>
        </w:tc>
        <w:tc>
          <w:tcPr>
            <w:tcW w:type="dxa" w:w="123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2.34</w:t>
            </w:r>
          </w:p>
        </w:tc>
        <w:tc>
          <w:tcPr>
            <w:tcW w:type="dxa" w:w="123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2.20–2.48</w:t>
            </w:r>
          </w:p>
        </w:tc>
        <w:tc>
          <w:tcPr>
            <w:tcW w:type="dxa" w:w="123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244,845</w:t>
            </w:r>
          </w:p>
        </w:tc>
        <w:tc>
          <w:tcPr>
            <w:tcW w:type="dxa" w:w="123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49,587</w:t>
            </w:r>
          </w:p>
        </w:tc>
        <w:tc>
          <w:tcPr>
            <w:tcW w:type="dxa" w:w="123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49,270</w:t>
            </w:r>
          </w:p>
        </w:tc>
      </w:tr>
      <w:tr>
        <w:tc>
          <w:tcPr>
            <w:tcW w:type="dxa" w:w="123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Publication disappearance</w:t>
            </w:r>
          </w:p>
        </w:tc>
        <w:tc>
          <w:tcPr>
            <w:tcW w:type="dxa" w:w="123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Entry-year target publications (log, standardized)</w:t>
            </w:r>
          </w:p>
        </w:tc>
        <w:tc>
          <w:tcPr>
            <w:tcW w:type="dxa" w:w="123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0.62</w:t>
            </w:r>
          </w:p>
        </w:tc>
        <w:tc>
          <w:tcPr>
            <w:tcW w:type="dxa" w:w="123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0.61–0.63</w:t>
            </w:r>
          </w:p>
        </w:tc>
        <w:tc>
          <w:tcPr>
            <w:tcW w:type="dxa" w:w="123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244,845</w:t>
            </w:r>
          </w:p>
        </w:tc>
        <w:tc>
          <w:tcPr>
            <w:tcW w:type="dxa" w:w="123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49,587</w:t>
            </w:r>
          </w:p>
        </w:tc>
        <w:tc>
          <w:tcPr>
            <w:tcW w:type="dxa" w:w="123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49,270</w:t>
            </w:r>
          </w:p>
        </w:tc>
      </w:tr>
      <w:tr>
        <w:tc>
          <w:tcPr>
            <w:tcW w:type="dxa" w:w="123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Publication disappearance</w:t>
            </w:r>
          </w:p>
        </w:tc>
        <w:tc>
          <w:tcPr>
            <w:tcW w:type="dxa" w:w="123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entry_international_collaboration_share_z</w:t>
            </w:r>
          </w:p>
        </w:tc>
        <w:tc>
          <w:tcPr>
            <w:tcW w:type="dxa" w:w="123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0.88</w:t>
            </w:r>
          </w:p>
        </w:tc>
        <w:tc>
          <w:tcPr>
            <w:tcW w:type="dxa" w:w="123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0.87–0.89</w:t>
            </w:r>
          </w:p>
        </w:tc>
        <w:tc>
          <w:tcPr>
            <w:tcW w:type="dxa" w:w="123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244,845</w:t>
            </w:r>
          </w:p>
        </w:tc>
        <w:tc>
          <w:tcPr>
            <w:tcW w:type="dxa" w:w="123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49,587</w:t>
            </w:r>
          </w:p>
        </w:tc>
        <w:tc>
          <w:tcPr>
            <w:tcW w:type="dxa" w:w="123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49,270</w:t>
            </w:r>
          </w:p>
        </w:tc>
      </w:tr>
      <w:tr>
        <w:tc>
          <w:tcPr>
            <w:tcW w:type="dxa" w:w="123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Publication disappearance</w:t>
            </w:r>
          </w:p>
        </w:tc>
        <w:tc>
          <w:tcPr>
            <w:tcW w:type="dxa" w:w="123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Mean entry-year team size (log, standardized)</w:t>
            </w:r>
          </w:p>
        </w:tc>
        <w:tc>
          <w:tcPr>
            <w:tcW w:type="dxa" w:w="123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1.14</w:t>
            </w:r>
          </w:p>
        </w:tc>
        <w:tc>
          <w:tcPr>
            <w:tcW w:type="dxa" w:w="123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1.12–1.16</w:t>
            </w:r>
          </w:p>
        </w:tc>
        <w:tc>
          <w:tcPr>
            <w:tcW w:type="dxa" w:w="123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244,845</w:t>
            </w:r>
          </w:p>
        </w:tc>
        <w:tc>
          <w:tcPr>
            <w:tcW w:type="dxa" w:w="123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49,587</w:t>
            </w:r>
          </w:p>
        </w:tc>
        <w:tc>
          <w:tcPr>
            <w:tcW w:type="dxa" w:w="123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49,270</w:t>
            </w:r>
          </w:p>
        </w:tc>
      </w:tr>
      <w:tr>
        <w:tc>
          <w:tcPr>
            <w:tcW w:type="dxa" w:w="123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Publication disappearance</w:t>
            </w:r>
          </w:p>
        </w:tc>
        <w:tc>
          <w:tcPr>
            <w:tcW w:type="dxa" w:w="123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entry_coaffiliated</w:t>
            </w:r>
          </w:p>
        </w:tc>
        <w:tc>
          <w:tcPr>
            <w:tcW w:type="dxa" w:w="123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0.43</w:t>
            </w:r>
          </w:p>
        </w:tc>
        <w:tc>
          <w:tcPr>
            <w:tcW w:type="dxa" w:w="123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0.41–0.46</w:t>
            </w:r>
          </w:p>
        </w:tc>
        <w:tc>
          <w:tcPr>
            <w:tcW w:type="dxa" w:w="123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244,845</w:t>
            </w:r>
          </w:p>
        </w:tc>
        <w:tc>
          <w:tcPr>
            <w:tcW w:type="dxa" w:w="123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49,587</w:t>
            </w:r>
          </w:p>
        </w:tc>
        <w:tc>
          <w:tcPr>
            <w:tcW w:type="dxa" w:w="123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49,270</w:t>
            </w:r>
          </w:p>
        </w:tc>
      </w:tr>
    </w:tbl>
    <w:p>
      <w:pPr>
        <w:spacing w:line="480" w:lineRule="auto" w:after="0"/>
      </w:pPr>
      <w:r>
        <w:rPr>
          <w:rFonts w:ascii="Times New Roman" w:hAnsi="Times New Roman" w:eastAsia="Times New Roman"/>
          <w:color w:val="000000"/>
          <w:sz w:val="24"/>
        </w:rPr>
        <w:t>Note. Estimates are associational and describe publication-affiliation outcomes; they do not identify physical migration.</w:t>
      </w:r>
    </w:p>
    <w:p>
      <w:pPr>
        <w:pStyle w:val="Heading1"/>
        <w:spacing w:line="480" w:lineRule="auto" w:after="0"/>
      </w:pPr>
      <w:r>
        <w:rPr>
          <w:rFonts w:ascii="Times New Roman" w:hAnsi="Times New Roman" w:eastAsia="Times New Roman"/>
          <w:color w:val="000000"/>
          <w:sz w:val="28"/>
        </w:rPr>
        <w:t>Table S4. Ten most frequent first observed publication-affiliation destinations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rPr>
          <w:tblHeader w:val="true"/>
          <w:tblHeader w:val="true"/>
        </w:trPr>
        <w:tc>
          <w:tcPr>
            <w:tcW w:type="dxa" w:w="2160"/>
            <w:shd w:fill="FFFFFF" w:color="auto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Origin Country</w:t>
            </w:r>
          </w:p>
        </w:tc>
        <w:tc>
          <w:tcPr>
            <w:tcW w:type="dxa" w:w="2160"/>
            <w:shd w:fill="FFFFFF" w:color="auto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rank</w:t>
            </w:r>
          </w:p>
        </w:tc>
        <w:tc>
          <w:tcPr>
            <w:tcW w:type="dxa" w:w="2160"/>
            <w:shd w:fill="FFFFFF" w:color="auto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destination</w:t>
            </w:r>
          </w:p>
        </w:tc>
        <w:tc>
          <w:tcPr>
            <w:tcW w:type="dxa" w:w="2160"/>
            <w:shd w:fill="FFFFFF" w:color="auto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authors</w:t>
            </w:r>
          </w:p>
        </w:tc>
      </w:tr>
      <w:tr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Oman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India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248</w:t>
            </w:r>
          </w:p>
        </w:tc>
      </w:tr>
      <w:tr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Oman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2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United Kingdom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142</w:t>
            </w:r>
          </w:p>
        </w:tc>
      </w:tr>
      <w:tr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Oman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3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United States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131</w:t>
            </w:r>
          </w:p>
        </w:tc>
      </w:tr>
      <w:tr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Oman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4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United Arab Emirates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108</w:t>
            </w:r>
          </w:p>
        </w:tc>
      </w:tr>
      <w:tr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Oman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5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Egypt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65</w:t>
            </w:r>
          </w:p>
        </w:tc>
      </w:tr>
      <w:tr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Oman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6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Canada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63</w:t>
            </w:r>
          </w:p>
        </w:tc>
      </w:tr>
      <w:tr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Oman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7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Saudi Arabia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61</w:t>
            </w:r>
          </w:p>
        </w:tc>
      </w:tr>
      <w:tr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Oman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8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Pakistan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57</w:t>
            </w:r>
          </w:p>
        </w:tc>
      </w:tr>
      <w:tr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Oman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9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Romania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57</w:t>
            </w:r>
          </w:p>
        </w:tc>
      </w:tr>
      <w:tr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Oman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10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Malaysia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55</w:t>
            </w:r>
          </w:p>
        </w:tc>
      </w:tr>
      <w:tr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Qatar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United States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847</w:t>
            </w:r>
          </w:p>
        </w:tc>
      </w:tr>
      <w:tr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Qatar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2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United Kingdom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317</w:t>
            </w:r>
          </w:p>
        </w:tc>
      </w:tr>
      <w:tr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Qatar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3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Canada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173</w:t>
            </w:r>
          </w:p>
        </w:tc>
      </w:tr>
      <w:tr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Qatar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4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United Arab Emirates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123</w:t>
            </w:r>
          </w:p>
        </w:tc>
      </w:tr>
      <w:tr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Qatar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5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Australia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113</w:t>
            </w:r>
          </w:p>
        </w:tc>
      </w:tr>
      <w:tr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Qatar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6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France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105</w:t>
            </w:r>
          </w:p>
        </w:tc>
      </w:tr>
      <w:tr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Qatar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7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China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104</w:t>
            </w:r>
          </w:p>
        </w:tc>
      </w:tr>
      <w:tr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Qatar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8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Egypt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102</w:t>
            </w:r>
          </w:p>
        </w:tc>
      </w:tr>
      <w:tr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Qatar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9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India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89</w:t>
            </w:r>
          </w:p>
        </w:tc>
      </w:tr>
      <w:tr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Qatar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10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Saudi Arabia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88</w:t>
            </w:r>
          </w:p>
        </w:tc>
      </w:tr>
      <w:tr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United Arab Emirates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United States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1204</w:t>
            </w:r>
          </w:p>
        </w:tc>
      </w:tr>
      <w:tr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United Arab Emirates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2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United Kingdom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512</w:t>
            </w:r>
          </w:p>
        </w:tc>
      </w:tr>
      <w:tr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United Arab Emirates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3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Canada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374</w:t>
            </w:r>
          </w:p>
        </w:tc>
      </w:tr>
      <w:tr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United Arab Emirates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4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India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364</w:t>
            </w:r>
          </w:p>
        </w:tc>
      </w:tr>
      <w:tr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United Arab Emirates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5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Saudi Arabia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194</w:t>
            </w:r>
          </w:p>
        </w:tc>
      </w:tr>
      <w:tr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United Arab Emirates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6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Australia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189</w:t>
            </w:r>
          </w:p>
        </w:tc>
      </w:tr>
      <w:tr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United Arab Emirates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7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Egypt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164</w:t>
            </w:r>
          </w:p>
        </w:tc>
      </w:tr>
      <w:tr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United Arab Emirates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8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Jordan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161</w:t>
            </w:r>
          </w:p>
        </w:tc>
      </w:tr>
      <w:tr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United Arab Emirates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9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China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161</w:t>
            </w:r>
          </w:p>
        </w:tc>
      </w:tr>
      <w:tr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United Arab Emirates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10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France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156</w:t>
            </w:r>
          </w:p>
        </w:tc>
      </w:tr>
    </w:tbl>
    <w:p>
      <w:pPr>
        <w:spacing w:line="480" w:lineRule="auto" w:after="0"/>
      </w:pPr>
      <w:r>
        <w:rPr>
          <w:rFonts w:ascii="Times New Roman" w:hAnsi="Times New Roman" w:eastAsia="Times New Roman"/>
          <w:color w:val="000000"/>
          <w:sz w:val="24"/>
        </w:rPr>
        <w:t>Note. Estimates are associational and describe publication-affiliation outcomes; they do not identify physical migration.</w:t>
      </w:r>
    </w:p>
    <w:p>
      <w:pPr>
        <w:pStyle w:val="Heading1"/>
        <w:spacing w:line="480" w:lineRule="auto" w:after="0"/>
      </w:pPr>
      <w:r>
        <w:rPr>
          <w:rFonts w:ascii="Times New Roman" w:hAnsi="Times New Roman" w:eastAsia="Times New Roman"/>
          <w:color w:val="000000"/>
          <w:sz w:val="28"/>
        </w:rPr>
        <w:t>Table S5. Publication-free-gap sensitivity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80"/>
        <w:gridCol w:w="1080"/>
        <w:gridCol w:w="1080"/>
        <w:gridCol w:w="1080"/>
        <w:gridCol w:w="1080"/>
        <w:gridCol w:w="1080"/>
        <w:gridCol w:w="1080"/>
        <w:gridCol w:w="1080"/>
      </w:tblGrid>
      <w:tr>
        <w:trPr>
          <w:tblHeader w:val="true"/>
          <w:tblHeader w:val="true"/>
        </w:trPr>
        <w:tc>
          <w:tcPr>
            <w:tcW w:type="dxa" w:w="1080"/>
            <w:shd w:fill="FFFFFF" w:color="auto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country</w:t>
            </w:r>
          </w:p>
        </w:tc>
        <w:tc>
          <w:tcPr>
            <w:tcW w:type="dxa" w:w="1080"/>
            <w:shd w:fill="FFFFFF" w:color="auto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Disappearance Gap</w:t>
            </w:r>
          </w:p>
        </w:tc>
        <w:tc>
          <w:tcPr>
            <w:tcW w:type="dxa" w:w="1080"/>
            <w:shd w:fill="FFFFFF" w:color="auto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Observable Exits</w:t>
            </w:r>
          </w:p>
        </w:tc>
        <w:tc>
          <w:tcPr>
            <w:tcW w:type="dxa" w:w="1080"/>
            <w:shd w:fill="FFFFFF" w:color="auto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Publication Disappearances</w:t>
            </w:r>
          </w:p>
        </w:tc>
        <w:tc>
          <w:tcPr>
            <w:tcW w:type="dxa" w:w="1080"/>
            <w:shd w:fill="FFFFFF" w:color="auto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Right Censored</w:t>
            </w:r>
          </w:p>
        </w:tc>
        <w:tc>
          <w:tcPr>
            <w:tcW w:type="dxa" w:w="1080"/>
            <w:shd w:fill="FFFFFF" w:color="auto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Cause-specific event-free estimate at 10 years</w:t>
            </w:r>
          </w:p>
        </w:tc>
        <w:tc>
          <w:tcPr>
            <w:tcW w:type="dxa" w:w="1080"/>
            <w:shd w:fill="FFFFFF" w:color="auto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Cif Exit At 10 Years</w:t>
            </w:r>
          </w:p>
        </w:tc>
        <w:tc>
          <w:tcPr>
            <w:tcW w:type="dxa" w:w="1080"/>
            <w:shd w:fill="FFFFFF" w:color="auto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Cif Disappearance At 10 Years</w:t>
            </w:r>
          </w:p>
        </w:tc>
      </w:tr>
      <w:tr>
        <w:tc>
          <w:tcPr>
            <w:tcW w:type="dxa" w:w="10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Oman</w:t>
            </w:r>
          </w:p>
        </w:tc>
        <w:tc>
          <w:tcPr>
            <w:tcW w:type="dxa" w:w="10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2</w:t>
            </w:r>
          </w:p>
        </w:tc>
        <w:tc>
          <w:tcPr>
            <w:tcW w:type="dxa" w:w="10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1,400</w:t>
            </w:r>
          </w:p>
        </w:tc>
        <w:tc>
          <w:tcPr>
            <w:tcW w:type="dxa" w:w="10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6,590</w:t>
            </w:r>
          </w:p>
        </w:tc>
        <w:tc>
          <w:tcPr>
            <w:tcW w:type="dxa" w:w="10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1,960</w:t>
            </w:r>
          </w:p>
        </w:tc>
        <w:tc>
          <w:tcPr>
            <w:tcW w:type="dxa" w:w="10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0.703</w:t>
            </w:r>
          </w:p>
        </w:tc>
        <w:tc>
          <w:tcPr>
            <w:tcW w:type="dxa" w:w="10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0.149</w:t>
            </w:r>
          </w:p>
        </w:tc>
        <w:tc>
          <w:tcPr>
            <w:tcW w:type="dxa" w:w="10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0.667</w:t>
            </w:r>
          </w:p>
        </w:tc>
      </w:tr>
      <w:tr>
        <w:tc>
          <w:tcPr>
            <w:tcW w:type="dxa" w:w="10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Oman</w:t>
            </w:r>
          </w:p>
        </w:tc>
        <w:tc>
          <w:tcPr>
            <w:tcW w:type="dxa" w:w="10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3</w:t>
            </w:r>
          </w:p>
        </w:tc>
        <w:tc>
          <w:tcPr>
            <w:tcW w:type="dxa" w:w="10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1,400</w:t>
            </w:r>
          </w:p>
        </w:tc>
        <w:tc>
          <w:tcPr>
            <w:tcW w:type="dxa" w:w="10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6,270</w:t>
            </w:r>
          </w:p>
        </w:tc>
        <w:tc>
          <w:tcPr>
            <w:tcW w:type="dxa" w:w="10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2,270</w:t>
            </w:r>
          </w:p>
        </w:tc>
        <w:tc>
          <w:tcPr>
            <w:tcW w:type="dxa" w:w="10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0.727</w:t>
            </w:r>
          </w:p>
        </w:tc>
        <w:tc>
          <w:tcPr>
            <w:tcW w:type="dxa" w:w="10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0.15</w:t>
            </w:r>
          </w:p>
        </w:tc>
        <w:tc>
          <w:tcPr>
            <w:tcW w:type="dxa" w:w="10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0.642</w:t>
            </w:r>
          </w:p>
        </w:tc>
      </w:tr>
      <w:tr>
        <w:tc>
          <w:tcPr>
            <w:tcW w:type="dxa" w:w="10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Oman</w:t>
            </w:r>
          </w:p>
        </w:tc>
        <w:tc>
          <w:tcPr>
            <w:tcW w:type="dxa" w:w="10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5</w:t>
            </w:r>
          </w:p>
        </w:tc>
        <w:tc>
          <w:tcPr>
            <w:tcW w:type="dxa" w:w="10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1,400</w:t>
            </w:r>
          </w:p>
        </w:tc>
        <w:tc>
          <w:tcPr>
            <w:tcW w:type="dxa" w:w="10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5,640</w:t>
            </w:r>
          </w:p>
        </w:tc>
        <w:tc>
          <w:tcPr>
            <w:tcW w:type="dxa" w:w="10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2,900</w:t>
            </w:r>
          </w:p>
        </w:tc>
        <w:tc>
          <w:tcPr>
            <w:tcW w:type="dxa" w:w="10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0.77</w:t>
            </w:r>
          </w:p>
        </w:tc>
        <w:tc>
          <w:tcPr>
            <w:tcW w:type="dxa" w:w="10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0.152</w:t>
            </w:r>
          </w:p>
        </w:tc>
        <w:tc>
          <w:tcPr>
            <w:tcW w:type="dxa" w:w="10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0.591</w:t>
            </w:r>
          </w:p>
        </w:tc>
      </w:tr>
      <w:tr>
        <w:tc>
          <w:tcPr>
            <w:tcW w:type="dxa" w:w="10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Qatar</w:t>
            </w:r>
          </w:p>
        </w:tc>
        <w:tc>
          <w:tcPr>
            <w:tcW w:type="dxa" w:w="10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2</w:t>
            </w:r>
          </w:p>
        </w:tc>
        <w:tc>
          <w:tcPr>
            <w:tcW w:type="dxa" w:w="10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2,750</w:t>
            </w:r>
          </w:p>
        </w:tc>
        <w:tc>
          <w:tcPr>
            <w:tcW w:type="dxa" w:w="10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6,540</w:t>
            </w:r>
          </w:p>
        </w:tc>
        <w:tc>
          <w:tcPr>
            <w:tcW w:type="dxa" w:w="10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2,730</w:t>
            </w:r>
          </w:p>
        </w:tc>
        <w:tc>
          <w:tcPr>
            <w:tcW w:type="dxa" w:w="10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0.596</w:t>
            </w:r>
          </w:p>
        </w:tc>
        <w:tc>
          <w:tcPr>
            <w:tcW w:type="dxa" w:w="10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0.242</w:t>
            </w:r>
          </w:p>
        </w:tc>
        <w:tc>
          <w:tcPr>
            <w:tcW w:type="dxa" w:w="10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0.559</w:t>
            </w:r>
          </w:p>
        </w:tc>
      </w:tr>
      <w:tr>
        <w:tc>
          <w:tcPr>
            <w:tcW w:type="dxa" w:w="10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Qatar</w:t>
            </w:r>
          </w:p>
        </w:tc>
        <w:tc>
          <w:tcPr>
            <w:tcW w:type="dxa" w:w="10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3</w:t>
            </w:r>
          </w:p>
        </w:tc>
        <w:tc>
          <w:tcPr>
            <w:tcW w:type="dxa" w:w="10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2,750</w:t>
            </w:r>
          </w:p>
        </w:tc>
        <w:tc>
          <w:tcPr>
            <w:tcW w:type="dxa" w:w="10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6,130</w:t>
            </w:r>
          </w:p>
        </w:tc>
        <w:tc>
          <w:tcPr>
            <w:tcW w:type="dxa" w:w="10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3,140</w:t>
            </w:r>
          </w:p>
        </w:tc>
        <w:tc>
          <w:tcPr>
            <w:tcW w:type="dxa" w:w="10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0.624</w:t>
            </w:r>
          </w:p>
        </w:tc>
        <w:tc>
          <w:tcPr>
            <w:tcW w:type="dxa" w:w="10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0.244</w:t>
            </w:r>
          </w:p>
        </w:tc>
        <w:tc>
          <w:tcPr>
            <w:tcW w:type="dxa" w:w="10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0.528</w:t>
            </w:r>
          </w:p>
        </w:tc>
      </w:tr>
      <w:tr>
        <w:tc>
          <w:tcPr>
            <w:tcW w:type="dxa" w:w="10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Qatar</w:t>
            </w:r>
          </w:p>
        </w:tc>
        <w:tc>
          <w:tcPr>
            <w:tcW w:type="dxa" w:w="10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5</w:t>
            </w:r>
          </w:p>
        </w:tc>
        <w:tc>
          <w:tcPr>
            <w:tcW w:type="dxa" w:w="10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2,750</w:t>
            </w:r>
          </w:p>
        </w:tc>
        <w:tc>
          <w:tcPr>
            <w:tcW w:type="dxa" w:w="10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5,360</w:t>
            </w:r>
          </w:p>
        </w:tc>
        <w:tc>
          <w:tcPr>
            <w:tcW w:type="dxa" w:w="10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3,910</w:t>
            </w:r>
          </w:p>
        </w:tc>
        <w:tc>
          <w:tcPr>
            <w:tcW w:type="dxa" w:w="10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0.674</w:t>
            </w:r>
          </w:p>
        </w:tc>
        <w:tc>
          <w:tcPr>
            <w:tcW w:type="dxa" w:w="10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0.248</w:t>
            </w:r>
          </w:p>
        </w:tc>
        <w:tc>
          <w:tcPr>
            <w:tcW w:type="dxa" w:w="10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0.477</w:t>
            </w:r>
          </w:p>
        </w:tc>
      </w:tr>
      <w:tr>
        <w:tc>
          <w:tcPr>
            <w:tcW w:type="dxa" w:w="10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United Arab Emirates</w:t>
            </w:r>
          </w:p>
        </w:tc>
        <w:tc>
          <w:tcPr>
            <w:tcW w:type="dxa" w:w="10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2</w:t>
            </w:r>
          </w:p>
        </w:tc>
        <w:tc>
          <w:tcPr>
            <w:tcW w:type="dxa" w:w="10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4,900</w:t>
            </w:r>
          </w:p>
        </w:tc>
        <w:tc>
          <w:tcPr>
            <w:tcW w:type="dxa" w:w="10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17,200</w:t>
            </w:r>
          </w:p>
        </w:tc>
        <w:tc>
          <w:tcPr>
            <w:tcW w:type="dxa" w:w="10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5,500</w:t>
            </w:r>
          </w:p>
        </w:tc>
        <w:tc>
          <w:tcPr>
            <w:tcW w:type="dxa" w:w="10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0.642</w:t>
            </w:r>
          </w:p>
        </w:tc>
        <w:tc>
          <w:tcPr>
            <w:tcW w:type="dxa" w:w="10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0.19</w:t>
            </w:r>
          </w:p>
        </w:tc>
        <w:tc>
          <w:tcPr>
            <w:tcW w:type="dxa" w:w="10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0.643</w:t>
            </w:r>
          </w:p>
        </w:tc>
      </w:tr>
      <w:tr>
        <w:tc>
          <w:tcPr>
            <w:tcW w:type="dxa" w:w="10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United Arab Emirates</w:t>
            </w:r>
          </w:p>
        </w:tc>
        <w:tc>
          <w:tcPr>
            <w:tcW w:type="dxa" w:w="10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3</w:t>
            </w:r>
          </w:p>
        </w:tc>
        <w:tc>
          <w:tcPr>
            <w:tcW w:type="dxa" w:w="10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4,900</w:t>
            </w:r>
          </w:p>
        </w:tc>
        <w:tc>
          <w:tcPr>
            <w:tcW w:type="dxa" w:w="10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16,300</w:t>
            </w:r>
          </w:p>
        </w:tc>
        <w:tc>
          <w:tcPr>
            <w:tcW w:type="dxa" w:w="10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6,390</w:t>
            </w:r>
          </w:p>
        </w:tc>
        <w:tc>
          <w:tcPr>
            <w:tcW w:type="dxa" w:w="10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0.672</w:t>
            </w:r>
          </w:p>
        </w:tc>
        <w:tc>
          <w:tcPr>
            <w:tcW w:type="dxa" w:w="10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0.192</w:t>
            </w:r>
          </w:p>
        </w:tc>
        <w:tc>
          <w:tcPr>
            <w:tcW w:type="dxa" w:w="10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0.615</w:t>
            </w:r>
          </w:p>
        </w:tc>
      </w:tr>
      <w:tr>
        <w:tc>
          <w:tcPr>
            <w:tcW w:type="dxa" w:w="10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United Arab Emirates</w:t>
            </w:r>
          </w:p>
        </w:tc>
        <w:tc>
          <w:tcPr>
            <w:tcW w:type="dxa" w:w="10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5</w:t>
            </w:r>
          </w:p>
        </w:tc>
        <w:tc>
          <w:tcPr>
            <w:tcW w:type="dxa" w:w="10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4,900</w:t>
            </w:r>
          </w:p>
        </w:tc>
        <w:tc>
          <w:tcPr>
            <w:tcW w:type="dxa" w:w="10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14,600</w:t>
            </w:r>
          </w:p>
        </w:tc>
        <w:tc>
          <w:tcPr>
            <w:tcW w:type="dxa" w:w="10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8,070</w:t>
            </w:r>
          </w:p>
        </w:tc>
        <w:tc>
          <w:tcPr>
            <w:tcW w:type="dxa" w:w="10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0.725</w:t>
            </w:r>
          </w:p>
        </w:tc>
        <w:tc>
          <w:tcPr>
            <w:tcW w:type="dxa" w:w="10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0.194</w:t>
            </w:r>
          </w:p>
        </w:tc>
        <w:tc>
          <w:tcPr>
            <w:tcW w:type="dxa" w:w="10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0.566</w:t>
            </w:r>
          </w:p>
        </w:tc>
      </w:tr>
    </w:tbl>
    <w:p>
      <w:pPr>
        <w:spacing w:line="480" w:lineRule="auto" w:after="0"/>
      </w:pPr>
      <w:r>
        <w:rPr>
          <w:rFonts w:ascii="Times New Roman" w:hAnsi="Times New Roman" w:eastAsia="Times New Roman"/>
          <w:color w:val="000000"/>
          <w:sz w:val="24"/>
        </w:rPr>
        <w:t>Note. Estimates are associational and describe publication-affiliation outcomes; they do not identify physical migration.</w:t>
      </w:r>
    </w:p>
    <w:p>
      <w:pPr>
        <w:pStyle w:val="Heading1"/>
        <w:spacing w:line="480" w:lineRule="auto" w:after="0"/>
      </w:pPr>
      <w:r>
        <w:rPr>
          <w:rFonts w:ascii="Times New Roman" w:hAnsi="Times New Roman" w:eastAsia="Times New Roman"/>
          <w:color w:val="000000"/>
          <w:sz w:val="28"/>
        </w:rPr>
        <w:t>Table S6. Observation-window sensitivity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rPr>
          <w:tblHeader w:val="true"/>
          <w:tblHeader w:val="true"/>
        </w:trPr>
        <w:tc>
          <w:tcPr>
            <w:tcW w:type="dxa" w:w="864"/>
            <w:shd w:fill="FFFFFF" w:color="auto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country</w:t>
            </w:r>
          </w:p>
        </w:tc>
        <w:tc>
          <w:tcPr>
            <w:tcW w:type="dxa" w:w="864"/>
            <w:shd w:fill="FFFFFF" w:color="auto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Administrative End Year</w:t>
            </w:r>
          </w:p>
        </w:tc>
        <w:tc>
          <w:tcPr>
            <w:tcW w:type="dxa" w:w="864"/>
            <w:shd w:fill="FFFFFF" w:color="auto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Disappearance Gap</w:t>
            </w:r>
          </w:p>
        </w:tc>
        <w:tc>
          <w:tcPr>
            <w:tcW w:type="dxa" w:w="864"/>
            <w:shd w:fill="FFFFFF" w:color="auto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authors</w:t>
            </w:r>
          </w:p>
        </w:tc>
        <w:tc>
          <w:tcPr>
            <w:tcW w:type="dxa" w:w="864"/>
            <w:shd w:fill="FFFFFF" w:color="auto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Observable Exits</w:t>
            </w:r>
          </w:p>
        </w:tc>
        <w:tc>
          <w:tcPr>
            <w:tcW w:type="dxa" w:w="864"/>
            <w:shd w:fill="FFFFFF" w:color="auto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Publication Disappearances</w:t>
            </w:r>
          </w:p>
        </w:tc>
        <w:tc>
          <w:tcPr>
            <w:tcW w:type="dxa" w:w="864"/>
            <w:shd w:fill="FFFFFF" w:color="auto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Right Censored</w:t>
            </w:r>
          </w:p>
        </w:tc>
        <w:tc>
          <w:tcPr>
            <w:tcW w:type="dxa" w:w="864"/>
            <w:shd w:fill="FFFFFF" w:color="auto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Cause-specific event-free estimate at 10 years</w:t>
            </w:r>
          </w:p>
        </w:tc>
        <w:tc>
          <w:tcPr>
            <w:tcW w:type="dxa" w:w="864"/>
            <w:shd w:fill="FFFFFF" w:color="auto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Cif Exit At 10 Years</w:t>
            </w:r>
          </w:p>
        </w:tc>
        <w:tc>
          <w:tcPr>
            <w:tcW w:type="dxa" w:w="864"/>
            <w:shd w:fill="FFFFFF" w:color="auto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Cif Disappearance At 10 Years</w:t>
            </w:r>
          </w:p>
        </w:tc>
      </w:tr>
      <w:tr>
        <w:tc>
          <w:tcPr>
            <w:tcW w:type="dxa" w:w="86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Oman</w:t>
            </w:r>
          </w:p>
        </w:tc>
        <w:tc>
          <w:tcPr>
            <w:tcW w:type="dxa" w:w="86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2,020</w:t>
            </w:r>
          </w:p>
        </w:tc>
        <w:tc>
          <w:tcPr>
            <w:tcW w:type="dxa" w:w="86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3</w:t>
            </w:r>
          </w:p>
        </w:tc>
        <w:tc>
          <w:tcPr>
            <w:tcW w:type="dxa" w:w="86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9,940</w:t>
            </w:r>
          </w:p>
        </w:tc>
        <w:tc>
          <w:tcPr>
            <w:tcW w:type="dxa" w:w="86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1,270</w:t>
            </w:r>
          </w:p>
        </w:tc>
        <w:tc>
          <w:tcPr>
            <w:tcW w:type="dxa" w:w="86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6,110</w:t>
            </w:r>
          </w:p>
        </w:tc>
        <w:tc>
          <w:tcPr>
            <w:tcW w:type="dxa" w:w="86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2,570</w:t>
            </w:r>
          </w:p>
        </w:tc>
        <w:tc>
          <w:tcPr>
            <w:tcW w:type="dxa" w:w="86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0.708</w:t>
            </w:r>
          </w:p>
        </w:tc>
        <w:tc>
          <w:tcPr>
            <w:tcW w:type="dxa" w:w="86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0.153</w:t>
            </w:r>
          </w:p>
        </w:tc>
        <w:tc>
          <w:tcPr>
            <w:tcW w:type="dxa" w:w="86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0.663</w:t>
            </w:r>
          </w:p>
        </w:tc>
      </w:tr>
      <w:tr>
        <w:tc>
          <w:tcPr>
            <w:tcW w:type="dxa" w:w="86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Oman</w:t>
            </w:r>
          </w:p>
        </w:tc>
        <w:tc>
          <w:tcPr>
            <w:tcW w:type="dxa" w:w="86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2,020</w:t>
            </w:r>
          </w:p>
        </w:tc>
        <w:tc>
          <w:tcPr>
            <w:tcW w:type="dxa" w:w="86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3</w:t>
            </w:r>
          </w:p>
        </w:tc>
        <w:tc>
          <w:tcPr>
            <w:tcW w:type="dxa" w:w="86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9,940</w:t>
            </w:r>
          </w:p>
        </w:tc>
        <w:tc>
          <w:tcPr>
            <w:tcW w:type="dxa" w:w="86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1,400</w:t>
            </w:r>
          </w:p>
        </w:tc>
        <w:tc>
          <w:tcPr>
            <w:tcW w:type="dxa" w:w="86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6,270</w:t>
            </w:r>
          </w:p>
        </w:tc>
        <w:tc>
          <w:tcPr>
            <w:tcW w:type="dxa" w:w="86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2,270</w:t>
            </w:r>
          </w:p>
        </w:tc>
        <w:tc>
          <w:tcPr>
            <w:tcW w:type="dxa" w:w="86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0.727</w:t>
            </w:r>
          </w:p>
        </w:tc>
        <w:tc>
          <w:tcPr>
            <w:tcW w:type="dxa" w:w="86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0.15</w:t>
            </w:r>
          </w:p>
        </w:tc>
        <w:tc>
          <w:tcPr>
            <w:tcW w:type="dxa" w:w="86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0.642</w:t>
            </w:r>
          </w:p>
        </w:tc>
      </w:tr>
      <w:tr>
        <w:tc>
          <w:tcPr>
            <w:tcW w:type="dxa" w:w="86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Qatar</w:t>
            </w:r>
          </w:p>
        </w:tc>
        <w:tc>
          <w:tcPr>
            <w:tcW w:type="dxa" w:w="86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2,020</w:t>
            </w:r>
          </w:p>
        </w:tc>
        <w:tc>
          <w:tcPr>
            <w:tcW w:type="dxa" w:w="86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3</w:t>
            </w:r>
          </w:p>
        </w:tc>
        <w:tc>
          <w:tcPr>
            <w:tcW w:type="dxa" w:w="86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12,000</w:t>
            </w:r>
          </w:p>
        </w:tc>
        <w:tc>
          <w:tcPr>
            <w:tcW w:type="dxa" w:w="86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2,450</w:t>
            </w:r>
          </w:p>
        </w:tc>
        <w:tc>
          <w:tcPr>
            <w:tcW w:type="dxa" w:w="86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5,750</w:t>
            </w:r>
          </w:p>
        </w:tc>
        <w:tc>
          <w:tcPr>
            <w:tcW w:type="dxa" w:w="86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3,830</w:t>
            </w:r>
          </w:p>
        </w:tc>
        <w:tc>
          <w:tcPr>
            <w:tcW w:type="dxa" w:w="86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0.603</w:t>
            </w:r>
          </w:p>
        </w:tc>
        <w:tc>
          <w:tcPr>
            <w:tcW w:type="dxa" w:w="86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0.252</w:t>
            </w:r>
          </w:p>
        </w:tc>
        <w:tc>
          <w:tcPr>
            <w:tcW w:type="dxa" w:w="86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0.536</w:t>
            </w:r>
          </w:p>
        </w:tc>
      </w:tr>
      <w:tr>
        <w:tc>
          <w:tcPr>
            <w:tcW w:type="dxa" w:w="86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Qatar</w:t>
            </w:r>
          </w:p>
        </w:tc>
        <w:tc>
          <w:tcPr>
            <w:tcW w:type="dxa" w:w="86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2,020</w:t>
            </w:r>
          </w:p>
        </w:tc>
        <w:tc>
          <w:tcPr>
            <w:tcW w:type="dxa" w:w="86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3</w:t>
            </w:r>
          </w:p>
        </w:tc>
        <w:tc>
          <w:tcPr>
            <w:tcW w:type="dxa" w:w="86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12,000</w:t>
            </w:r>
          </w:p>
        </w:tc>
        <w:tc>
          <w:tcPr>
            <w:tcW w:type="dxa" w:w="86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2,750</w:t>
            </w:r>
          </w:p>
        </w:tc>
        <w:tc>
          <w:tcPr>
            <w:tcW w:type="dxa" w:w="86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6,130</w:t>
            </w:r>
          </w:p>
        </w:tc>
        <w:tc>
          <w:tcPr>
            <w:tcW w:type="dxa" w:w="86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3,140</w:t>
            </w:r>
          </w:p>
        </w:tc>
        <w:tc>
          <w:tcPr>
            <w:tcW w:type="dxa" w:w="86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0.624</w:t>
            </w:r>
          </w:p>
        </w:tc>
        <w:tc>
          <w:tcPr>
            <w:tcW w:type="dxa" w:w="86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0.244</w:t>
            </w:r>
          </w:p>
        </w:tc>
        <w:tc>
          <w:tcPr>
            <w:tcW w:type="dxa" w:w="86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0.528</w:t>
            </w:r>
          </w:p>
        </w:tc>
      </w:tr>
      <w:tr>
        <w:tc>
          <w:tcPr>
            <w:tcW w:type="dxa" w:w="86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United Arab Emirates</w:t>
            </w:r>
          </w:p>
        </w:tc>
        <w:tc>
          <w:tcPr>
            <w:tcW w:type="dxa" w:w="86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2,020</w:t>
            </w:r>
          </w:p>
        </w:tc>
        <w:tc>
          <w:tcPr>
            <w:tcW w:type="dxa" w:w="86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3</w:t>
            </w:r>
          </w:p>
        </w:tc>
        <w:tc>
          <w:tcPr>
            <w:tcW w:type="dxa" w:w="86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27,600</w:t>
            </w:r>
          </w:p>
        </w:tc>
        <w:tc>
          <w:tcPr>
            <w:tcW w:type="dxa" w:w="86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4,380</w:t>
            </w:r>
          </w:p>
        </w:tc>
        <w:tc>
          <w:tcPr>
            <w:tcW w:type="dxa" w:w="86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15,600</w:t>
            </w:r>
          </w:p>
        </w:tc>
        <w:tc>
          <w:tcPr>
            <w:tcW w:type="dxa" w:w="86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7,680</w:t>
            </w:r>
          </w:p>
        </w:tc>
        <w:tc>
          <w:tcPr>
            <w:tcW w:type="dxa" w:w="86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0.656</w:t>
            </w:r>
          </w:p>
        </w:tc>
        <w:tc>
          <w:tcPr>
            <w:tcW w:type="dxa" w:w="86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0.195</w:t>
            </w:r>
          </w:p>
        </w:tc>
        <w:tc>
          <w:tcPr>
            <w:tcW w:type="dxa" w:w="86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0.628</w:t>
            </w:r>
          </w:p>
        </w:tc>
      </w:tr>
      <w:tr>
        <w:tc>
          <w:tcPr>
            <w:tcW w:type="dxa" w:w="86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United Arab Emirates</w:t>
            </w:r>
          </w:p>
        </w:tc>
        <w:tc>
          <w:tcPr>
            <w:tcW w:type="dxa" w:w="86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2,020</w:t>
            </w:r>
          </w:p>
        </w:tc>
        <w:tc>
          <w:tcPr>
            <w:tcW w:type="dxa" w:w="86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3</w:t>
            </w:r>
          </w:p>
        </w:tc>
        <w:tc>
          <w:tcPr>
            <w:tcW w:type="dxa" w:w="86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27,600</w:t>
            </w:r>
          </w:p>
        </w:tc>
        <w:tc>
          <w:tcPr>
            <w:tcW w:type="dxa" w:w="86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4,900</w:t>
            </w:r>
          </w:p>
        </w:tc>
        <w:tc>
          <w:tcPr>
            <w:tcW w:type="dxa" w:w="86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16,300</w:t>
            </w:r>
          </w:p>
        </w:tc>
        <w:tc>
          <w:tcPr>
            <w:tcW w:type="dxa" w:w="86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6,390</w:t>
            </w:r>
          </w:p>
        </w:tc>
        <w:tc>
          <w:tcPr>
            <w:tcW w:type="dxa" w:w="86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0.672</w:t>
            </w:r>
          </w:p>
        </w:tc>
        <w:tc>
          <w:tcPr>
            <w:tcW w:type="dxa" w:w="86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0.192</w:t>
            </w:r>
          </w:p>
        </w:tc>
        <w:tc>
          <w:tcPr>
            <w:tcW w:type="dxa" w:w="86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0.615</w:t>
            </w:r>
          </w:p>
        </w:tc>
      </w:tr>
    </w:tbl>
    <w:p>
      <w:pPr>
        <w:spacing w:line="480" w:lineRule="auto" w:after="0"/>
      </w:pPr>
      <w:r>
        <w:rPr>
          <w:rFonts w:ascii="Times New Roman" w:hAnsi="Times New Roman" w:eastAsia="Times New Roman"/>
          <w:color w:val="000000"/>
          <w:sz w:val="24"/>
        </w:rPr>
        <w:t>Note. Estimates are associational and describe publication-affiliation outcomes; they do not identify physical migration.</w:t>
      </w:r>
    </w:p>
    <w:p>
      <w:pPr>
        <w:pStyle w:val="Heading1"/>
        <w:spacing w:line="480" w:lineRule="auto" w:after="0"/>
      </w:pPr>
      <w:r>
        <w:rPr>
          <w:rFonts w:ascii="Times New Roman" w:hAnsi="Times New Roman" w:eastAsia="Times New Roman"/>
          <w:color w:val="000000"/>
          <w:sz w:val="28"/>
        </w:rPr>
        <w:t>Table S7. Complete country-by-time terms from the secondary terminal-transition model</w:t>
      </w:r>
    </w:p>
    <w:p>
      <w:pPr>
        <w:spacing w:line="480" w:lineRule="auto" w:after="0"/>
      </w:pPr>
      <w:r>
        <w:rPr>
          <w:rFonts w:ascii="Times New Roman" w:hAnsi="Times New Roman" w:eastAsia="Times New Roman"/>
          <w:color w:val="000000"/>
          <w:sz w:val="24"/>
        </w:rPr>
        <w:t>The model is secondary because the terminal endpoint is retrospectively classified through the end of 2025. Oman and year 1 are reference categories; standard errors are clustered by Author ID.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45"/>
        <w:gridCol w:w="2045"/>
        <w:gridCol w:w="2045"/>
        <w:gridCol w:w="2045"/>
        <w:gridCol w:w="2045"/>
      </w:tblGrid>
      <w:tr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Model term</w:t>
            </w:r>
          </w:p>
        </w:tc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Hazard ratio</w:t>
            </w:r>
          </w:p>
        </w:tc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95% CI</w:t>
            </w:r>
          </w:p>
        </w:tc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p value</w:t>
            </w:r>
          </w:p>
        </w:tc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Person-years</w:t>
            </w:r>
          </w:p>
        </w:tc>
      </w:tr>
      <w:tr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Country[T.Qatar]</w:t>
            </w:r>
          </w:p>
        </w:tc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1.27</w:t>
            </w:r>
          </w:p>
        </w:tc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1.12–1.43</w:t>
            </w:r>
          </w:p>
        </w:tc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0.000173</w:t>
            </w:r>
          </w:p>
        </w:tc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244,845</w:t>
            </w:r>
          </w:p>
        </w:tc>
      </w:tr>
      <w:tr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Country[T.United Arab Emirates]</w:t>
            </w:r>
          </w:p>
        </w:tc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1.15</w:t>
            </w:r>
          </w:p>
        </w:tc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1.03–1.29</w:t>
            </w:r>
          </w:p>
        </w:tc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0.0125</w:t>
            </w:r>
          </w:p>
        </w:tc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244,845</w:t>
            </w:r>
          </w:p>
        </w:tc>
      </w:tr>
      <w:tr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C(time)[T.2] × Country[T.Qatar]</w:t>
            </w:r>
          </w:p>
        </w:tc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1.19</w:t>
            </w:r>
          </w:p>
        </w:tc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0.96–1.47</w:t>
            </w:r>
          </w:p>
        </w:tc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0.12</w:t>
            </w:r>
          </w:p>
        </w:tc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244,845</w:t>
            </w:r>
          </w:p>
        </w:tc>
      </w:tr>
      <w:tr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C(time)[T.3] × Country[T.Qatar]</w:t>
            </w:r>
          </w:p>
        </w:tc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1.55</w:t>
            </w:r>
          </w:p>
        </w:tc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1.23–1.97</w:t>
            </w:r>
          </w:p>
        </w:tc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0.000237</w:t>
            </w:r>
          </w:p>
        </w:tc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244,845</w:t>
            </w:r>
          </w:p>
        </w:tc>
      </w:tr>
      <w:tr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C(time)[T.4] × Country[T.Qatar]</w:t>
            </w:r>
          </w:p>
        </w:tc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1.22</w:t>
            </w:r>
          </w:p>
        </w:tc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0.96–1.55</w:t>
            </w:r>
          </w:p>
        </w:tc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0.1</w:t>
            </w:r>
          </w:p>
        </w:tc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244,845</w:t>
            </w:r>
          </w:p>
        </w:tc>
      </w:tr>
      <w:tr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C(time)[T.5] × Country[T.Qatar]</w:t>
            </w:r>
          </w:p>
        </w:tc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1.16</w:t>
            </w:r>
          </w:p>
        </w:tc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0.92–1.47</w:t>
            </w:r>
          </w:p>
        </w:tc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0.202</w:t>
            </w:r>
          </w:p>
        </w:tc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244,845</w:t>
            </w:r>
          </w:p>
        </w:tc>
      </w:tr>
      <w:tr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C(time)[T.6] × Country[T.Qatar]</w:t>
            </w:r>
          </w:p>
        </w:tc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1.04</w:t>
            </w:r>
          </w:p>
        </w:tc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0.81–1.34</w:t>
            </w:r>
          </w:p>
        </w:tc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0.751</w:t>
            </w:r>
          </w:p>
        </w:tc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244,845</w:t>
            </w:r>
          </w:p>
        </w:tc>
      </w:tr>
      <w:tr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C(time)[T.7] × Country[T.Qatar]</w:t>
            </w:r>
          </w:p>
        </w:tc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0.88</w:t>
            </w:r>
          </w:p>
        </w:tc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0.66–1.19</w:t>
            </w:r>
          </w:p>
        </w:tc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0.403</w:t>
            </w:r>
          </w:p>
        </w:tc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244,845</w:t>
            </w:r>
          </w:p>
        </w:tc>
      </w:tr>
      <w:tr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C(time)[T.8] × Country[T.Qatar]</w:t>
            </w:r>
          </w:p>
        </w:tc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0.95</w:t>
            </w:r>
          </w:p>
        </w:tc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0.68–1.33</w:t>
            </w:r>
          </w:p>
        </w:tc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0.774</w:t>
            </w:r>
          </w:p>
        </w:tc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244,845</w:t>
            </w:r>
          </w:p>
        </w:tc>
      </w:tr>
      <w:tr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C(time)[T.9] × Country[T.Qatar]</w:t>
            </w:r>
          </w:p>
        </w:tc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0.58</w:t>
            </w:r>
          </w:p>
        </w:tc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0.41–0.82</w:t>
            </w:r>
          </w:p>
        </w:tc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0.00215</w:t>
            </w:r>
          </w:p>
        </w:tc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244,845</w:t>
            </w:r>
          </w:p>
        </w:tc>
      </w:tr>
      <w:tr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C(time)[T.10] × Country[T.Qatar]</w:t>
            </w:r>
          </w:p>
        </w:tc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0.86</w:t>
            </w:r>
          </w:p>
        </w:tc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0.56–1.31</w:t>
            </w:r>
          </w:p>
        </w:tc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0.475</w:t>
            </w:r>
          </w:p>
        </w:tc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244,845</w:t>
            </w:r>
          </w:p>
        </w:tc>
      </w:tr>
      <w:tr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C(time)[T.11] × Country[T.Qatar]</w:t>
            </w:r>
          </w:p>
        </w:tc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1.06</w:t>
            </w:r>
          </w:p>
        </w:tc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0.64–1.74</w:t>
            </w:r>
          </w:p>
        </w:tc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0.824</w:t>
            </w:r>
          </w:p>
        </w:tc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244,845</w:t>
            </w:r>
          </w:p>
        </w:tc>
      </w:tr>
      <w:tr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C(time)[T.12] × Country[T.Qatar]</w:t>
            </w:r>
          </w:p>
        </w:tc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1.67</w:t>
            </w:r>
          </w:p>
        </w:tc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0.87–3.24</w:t>
            </w:r>
          </w:p>
        </w:tc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0.126</w:t>
            </w:r>
          </w:p>
        </w:tc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244,845</w:t>
            </w:r>
          </w:p>
        </w:tc>
      </w:tr>
      <w:tr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C(time)[T.13] × Country[T.Qatar]</w:t>
            </w:r>
          </w:p>
        </w:tc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1.41</w:t>
            </w:r>
          </w:p>
        </w:tc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0.64–3.13</w:t>
            </w:r>
          </w:p>
        </w:tc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0.393</w:t>
            </w:r>
          </w:p>
        </w:tc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244,845</w:t>
            </w:r>
          </w:p>
        </w:tc>
      </w:tr>
      <w:tr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C(time)[T.14] × Country[T.Qatar]</w:t>
            </w:r>
          </w:p>
        </w:tc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0.64</w:t>
            </w:r>
          </w:p>
        </w:tc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0.20–2.05</w:t>
            </w:r>
          </w:p>
        </w:tc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0.451</w:t>
            </w:r>
          </w:p>
        </w:tc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244,845</w:t>
            </w:r>
          </w:p>
        </w:tc>
      </w:tr>
      <w:tr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C(time)[T.15] × Country[T.Qatar]</w:t>
            </w:r>
          </w:p>
        </w:tc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3.63</w:t>
            </w:r>
          </w:p>
        </w:tc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0.40–33.22</w:t>
            </w:r>
          </w:p>
        </w:tc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0.254</w:t>
            </w:r>
          </w:p>
        </w:tc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244,845</w:t>
            </w:r>
          </w:p>
        </w:tc>
      </w:tr>
      <w:tr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C(time)[T.2] × Country[T.United Arab Emirates]</w:t>
            </w:r>
          </w:p>
        </w:tc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1.01</w:t>
            </w:r>
          </w:p>
        </w:tc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0.83–1.24</w:t>
            </w:r>
          </w:p>
        </w:tc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0.9</w:t>
            </w:r>
          </w:p>
        </w:tc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244,845</w:t>
            </w:r>
          </w:p>
        </w:tc>
      </w:tr>
      <w:tr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C(time)[T.3] × Country[T.United Arab Emirates]</w:t>
            </w:r>
          </w:p>
        </w:tc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1.18</w:t>
            </w:r>
          </w:p>
        </w:tc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0.94–1.47</w:t>
            </w:r>
          </w:p>
        </w:tc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0.148</w:t>
            </w:r>
          </w:p>
        </w:tc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244,845</w:t>
            </w:r>
          </w:p>
        </w:tc>
      </w:tr>
      <w:tr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C(time)[T.4] × Country[T.United Arab Emirates]</w:t>
            </w:r>
          </w:p>
        </w:tc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1.11</w:t>
            </w:r>
          </w:p>
        </w:tc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0.89–1.39</w:t>
            </w:r>
          </w:p>
        </w:tc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0.345</w:t>
            </w:r>
          </w:p>
        </w:tc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244,845</w:t>
            </w:r>
          </w:p>
        </w:tc>
      </w:tr>
      <w:tr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C(time)[T.5] × Country[T.United Arab Emirates]</w:t>
            </w:r>
          </w:p>
        </w:tc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0.94</w:t>
            </w:r>
          </w:p>
        </w:tc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0.76–1.17</w:t>
            </w:r>
          </w:p>
        </w:tc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0.59</w:t>
            </w:r>
          </w:p>
        </w:tc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244,845</w:t>
            </w:r>
          </w:p>
        </w:tc>
      </w:tr>
      <w:tr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C(time)[T.6] × Country[T.United Arab Emirates]</w:t>
            </w:r>
          </w:p>
        </w:tc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0.84</w:t>
            </w:r>
          </w:p>
        </w:tc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0.66–1.06</w:t>
            </w:r>
          </w:p>
        </w:tc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0.142</w:t>
            </w:r>
          </w:p>
        </w:tc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244,845</w:t>
            </w:r>
          </w:p>
        </w:tc>
      </w:tr>
      <w:tr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C(time)[T.7] × Country[T.United Arab Emirates]</w:t>
            </w:r>
          </w:p>
        </w:tc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1.03</w:t>
            </w:r>
          </w:p>
        </w:tc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0.79–1.34</w:t>
            </w:r>
          </w:p>
        </w:tc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0.823</w:t>
            </w:r>
          </w:p>
        </w:tc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244,845</w:t>
            </w:r>
          </w:p>
        </w:tc>
      </w:tr>
      <w:tr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C(time)[T.8] × Country[T.United Arab Emirates]</w:t>
            </w:r>
          </w:p>
        </w:tc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0.93</w:t>
            </w:r>
          </w:p>
        </w:tc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0.68–1.25</w:t>
            </w:r>
          </w:p>
        </w:tc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0.619</w:t>
            </w:r>
          </w:p>
        </w:tc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244,845</w:t>
            </w:r>
          </w:p>
        </w:tc>
      </w:tr>
      <w:tr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C(time)[T.9] × Country[T.United Arab Emirates]</w:t>
            </w:r>
          </w:p>
        </w:tc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0.58</w:t>
            </w:r>
          </w:p>
        </w:tc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0.42–0.79</w:t>
            </w:r>
          </w:p>
        </w:tc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0.000594</w:t>
            </w:r>
          </w:p>
        </w:tc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244,845</w:t>
            </w:r>
          </w:p>
        </w:tc>
      </w:tr>
      <w:tr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C(time)[T.10] × Country[T.United Arab Emirates]</w:t>
            </w:r>
          </w:p>
        </w:tc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0.67</w:t>
            </w:r>
          </w:p>
        </w:tc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0.45–1.00</w:t>
            </w:r>
          </w:p>
        </w:tc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0.0486</w:t>
            </w:r>
          </w:p>
        </w:tc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244,845</w:t>
            </w:r>
          </w:p>
        </w:tc>
      </w:tr>
      <w:tr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C(time)[T.11] × Country[T.United Arab Emirates]</w:t>
            </w:r>
          </w:p>
        </w:tc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0.63</w:t>
            </w:r>
          </w:p>
        </w:tc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0.39–1.02</w:t>
            </w:r>
          </w:p>
        </w:tc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0.0611</w:t>
            </w:r>
          </w:p>
        </w:tc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244,845</w:t>
            </w:r>
          </w:p>
        </w:tc>
      </w:tr>
      <w:tr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C(time)[T.12] × Country[T.United Arab Emirates]</w:t>
            </w:r>
          </w:p>
        </w:tc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0.96</w:t>
            </w:r>
          </w:p>
        </w:tc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0.50–1.83</w:t>
            </w:r>
          </w:p>
        </w:tc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0.899</w:t>
            </w:r>
          </w:p>
        </w:tc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244,845</w:t>
            </w:r>
          </w:p>
        </w:tc>
      </w:tr>
      <w:tr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C(time)[T.13] × Country[T.United Arab Emirates]</w:t>
            </w:r>
          </w:p>
        </w:tc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1.17</w:t>
            </w:r>
          </w:p>
        </w:tc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0.57–2.41</w:t>
            </w:r>
          </w:p>
        </w:tc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0.672</w:t>
            </w:r>
          </w:p>
        </w:tc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244,845</w:t>
            </w:r>
          </w:p>
        </w:tc>
      </w:tr>
      <w:tr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C(time)[T.14] × Country[T.United Arab Emirates]</w:t>
            </w:r>
          </w:p>
        </w:tc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0.68</w:t>
            </w:r>
          </w:p>
        </w:tc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0.26–1.74</w:t>
            </w:r>
          </w:p>
        </w:tc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0.416</w:t>
            </w:r>
          </w:p>
        </w:tc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244,845</w:t>
            </w:r>
          </w:p>
        </w:tc>
      </w:tr>
      <w:tr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C(time)[T.15] × Country[T.United Arab Emirates]</w:t>
            </w:r>
          </w:p>
        </w:tc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3.23</w:t>
            </w:r>
          </w:p>
        </w:tc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0.40–26.22</w:t>
            </w:r>
          </w:p>
        </w:tc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0.272</w:t>
            </w:r>
          </w:p>
        </w:tc>
        <w:tc>
          <w:tcPr>
            <w:tcW w:type="dxa" w:w="2045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244,845</w:t>
            </w:r>
          </w:p>
        </w:tc>
      </w:tr>
    </w:tbl>
    <w:p>
      <w:pPr>
        <w:pStyle w:val="Caption"/>
        <w:spacing w:line="480" w:lineRule="auto" w:after="0"/>
      </w:pPr>
      <w:r>
        <w:rPr>
          <w:rFonts w:ascii="Times New Roman" w:hAnsi="Times New Roman" w:eastAsia="Times New Roman"/>
          <w:color w:val="000000"/>
          <w:sz w:val="24"/>
        </w:rPr>
        <w:t>Table S8. Targeted reconciliation of 11 previously unresolved diagnostic Author IDs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Audit outcome</w:t>
            </w:r>
          </w:p>
        </w:tc>
        <w:tc>
          <w:tcPr>
            <w:tcW w:type="dxa" w:w="5112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Count</w:t>
            </w:r>
          </w:p>
        </w:tc>
      </w:tr>
      <w:tr>
        <w:tc>
          <w:tcPr>
            <w:tcW w:type="dxa" w:w="5112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Scopus Author IDs resolved to named profiles</w:t>
            </w:r>
          </w:p>
        </w:tc>
        <w:tc>
          <w:tcPr>
            <w:tcW w:type="dxa" w:w="5112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11</w:t>
            </w:r>
          </w:p>
        </w:tc>
      </w:tr>
      <w:tr>
        <w:tc>
          <w:tcPr>
            <w:tcW w:type="dxa" w:w="5112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Outdated diagnostic disappearance labels identified</w:t>
            </w:r>
          </w:p>
        </w:tc>
        <w:tc>
          <w:tcPr>
            <w:tcW w:type="dxa" w:w="5112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3</w:t>
            </w:r>
          </w:p>
        </w:tc>
      </w:tr>
      <w:tr>
        <w:tc>
          <w:tcPr>
            <w:tcW w:type="dxa" w:w="5112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Outdated diagnostic first-exit years identified</w:t>
            </w:r>
          </w:p>
        </w:tc>
        <w:tc>
          <w:tcPr>
            <w:tcW w:type="dxa" w:w="5112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3</w:t>
            </w:r>
          </w:p>
        </w:tc>
      </w:tr>
      <w:tr>
        <w:tc>
          <w:tcPr>
            <w:tcW w:type="dxa" w:w="5112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Discrepancies in the complete national Oman results</w:t>
            </w:r>
          </w:p>
        </w:tc>
        <w:tc>
          <w:tcPr>
            <w:tcW w:type="dxa" w:w="5112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</w:t>
            </w:r>
          </w:p>
        </w:tc>
      </w:tr>
      <w:tr>
        <w:tc>
          <w:tcPr>
            <w:tcW w:type="dxa" w:w="5112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Aggregate tables or figures changed after full rerun</w:t>
            </w:r>
          </w:p>
        </w:tc>
        <w:tc>
          <w:tcPr>
            <w:tcW w:type="dxa" w:w="5112"/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</w:t>
            </w:r>
          </w:p>
        </w:tc>
      </w:tr>
    </w:tbl>
    <w:p>
      <w:pPr>
        <w:pStyle w:val="Caption"/>
        <w:spacing w:line="480" w:lineRule="auto" w:after="0"/>
      </w:pPr>
      <w:r>
        <w:rPr>
          <w:rFonts w:ascii="Times New Roman" w:hAnsi="Times New Roman" w:eastAsia="Times New Roman"/>
          <w:color w:val="000000"/>
          <w:sz w:val="24"/>
        </w:rPr>
        <w:t>Note. The browser audit inspected Scopus profile pages and the dated publication records supporting the earliest foreign-only transitions. A full rerun merged 532 directly retrieved records with the national history file and deduplicated by EID/DOI. The resulting core analytical files were byte-identical to the files used for the manuscript. This targeted reconciliation does not provide independent parser precision or inter-coder agreement.</w:t>
      </w:r>
    </w:p>
    <w:p>
      <w:pPr>
        <w:pStyle w:val="Caption"/>
        <w:pageBreakBefore/>
        <w:spacing w:line="480" w:lineRule="auto" w:after="0"/>
      </w:pPr>
      <w:r>
        <w:rPr>
          <w:rFonts w:ascii="Times New Roman" w:hAnsi="Times New Roman" w:eastAsia="Times New Roman"/>
          <w:color w:val="000000"/>
          <w:sz w:val="24"/>
        </w:rPr>
        <w:t>Table S9. Stratified record-level Scopus validation and inter-pass agreement</w:t>
      </w:r>
    </w:p>
    <w:tbl>
      <w:tblPr>
        <w:tblStyle w:val="TableGrid"/>
        <w:tblW w:type="dxa" w:w="10224"/>
        <w:tblLayout w:type="fixed"/>
        <w:tblLook w:firstColumn="1" w:firstRow="1" w:lastColumn="0" w:lastRow="0" w:noHBand="0" w:noVBand="1" w:val="04A0"/>
        <w:tblInd w:w="90" w:type="dxa"/>
      </w:tblPr>
      <w:tblGrid>
        <w:gridCol w:w="2376"/>
        <w:gridCol w:w="5688"/>
        <w:gridCol w:w="1080"/>
        <w:gridCol w:w="1080"/>
      </w:tblGrid>
      <w:tr>
        <w:trPr>
          <w:tblHeader w:val="true"/>
        </w:trPr>
        <w:tc>
          <w:tcPr>
            <w:tcW w:type="dxa" w:w="2376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Domain</w:t>
            </w:r>
          </w:p>
        </w:tc>
        <w:tc>
          <w:tcPr>
            <w:tcW w:type="dxa" w:w="5688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Final adjudicated result</w:t>
            </w:r>
          </w:p>
        </w:tc>
        <w:tc>
          <w:tcPr>
            <w:tcW w:type="dxa" w:w="1080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Raw agreement</w:t>
            </w:r>
          </w:p>
        </w:tc>
        <w:tc>
          <w:tcPr>
            <w:tcW w:type="dxa" w:w="1080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Cohen's kappa</w:t>
            </w:r>
          </w:p>
        </w:tc>
      </w:tr>
      <w:tr>
        <w:trPr/>
        <w:tc>
          <w:tcPr>
            <w:tcW w:type="dxa" w:w="2376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Sample design</w:t>
            </w:r>
          </w:p>
        </w:tc>
        <w:tc>
          <w:tcPr>
            <w:tcW w:type="dxa" w:w="5688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25 records from each of seven diagnostic strata; N = 175 (Oman 56, Qatar 53, UAE 66)</w:t>
            </w:r>
          </w:p>
        </w:tc>
        <w:tc>
          <w:tcPr>
            <w:tcW w:type="dxa" w:w="1080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-</w:t>
            </w:r>
          </w:p>
        </w:tc>
        <w:tc>
          <w:tcPr>
            <w:tcW w:type="dxa" w:w="1080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-</w:t>
            </w:r>
          </w:p>
        </w:tc>
      </w:tr>
      <w:tr>
        <w:trPr/>
        <w:tc>
          <w:tcPr>
            <w:tcW w:type="dxa" w:w="2376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Observed state</w:t>
            </w:r>
          </w:p>
        </w:tc>
        <w:tc>
          <w:tcPr>
            <w:tcW w:type="dxa" w:w="5688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target-only 34; target-and-foreign 38; foreign-only 94; country-unknown 9</w:t>
            </w:r>
          </w:p>
        </w:tc>
        <w:tc>
          <w:tcPr>
            <w:tcW w:type="dxa" w:w="1080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93.1%</w:t>
            </w:r>
          </w:p>
        </w:tc>
        <w:tc>
          <w:tcPr>
            <w:tcW w:type="dxa" w:w="1080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0.892</w:t>
            </w:r>
          </w:p>
        </w:tc>
      </w:tr>
      <w:tr>
        <w:trPr/>
        <w:tc>
          <w:tcPr>
            <w:tcW w:type="dxa" w:w="2376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Author-affiliation alignment</w:t>
            </w:r>
          </w:p>
        </w:tc>
        <w:tc>
          <w:tcPr>
            <w:tcW w:type="dxa" w:w="5688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Yes 168 (96.0%); No 7 (4.0%)</w:t>
            </w:r>
          </w:p>
        </w:tc>
        <w:tc>
          <w:tcPr>
            <w:tcW w:type="dxa" w:w="1080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69.7%</w:t>
            </w:r>
          </w:p>
        </w:tc>
        <w:tc>
          <w:tcPr>
            <w:tcW w:type="dxa" w:w="1080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-0.016</w:t>
            </w:r>
          </w:p>
        </w:tc>
      </w:tr>
      <w:tr>
        <w:trPr/>
        <w:tc>
          <w:tcPr>
            <w:tcW w:type="dxa" w:w="2376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Country mapping</w:t>
            </w:r>
          </w:p>
        </w:tc>
        <w:tc>
          <w:tcPr>
            <w:tcW w:type="dxa" w:w="5688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Yes 149 (85.1%); No 12 (6.9%); Unclear 14 (8.0%); 92.5% correct among determinate cases</w:t>
            </w:r>
          </w:p>
        </w:tc>
        <w:tc>
          <w:tcPr>
            <w:tcW w:type="dxa" w:w="1080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76.6%</w:t>
            </w:r>
          </w:p>
        </w:tc>
        <w:tc>
          <w:tcPr>
            <w:tcW w:type="dxa" w:w="1080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0.436</w:t>
            </w:r>
          </w:p>
        </w:tc>
      </w:tr>
      <w:tr>
        <w:trPr/>
        <w:tc>
          <w:tcPr>
            <w:tcW w:type="dxa" w:w="2376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Error category</w:t>
            </w:r>
          </w:p>
        </w:tc>
        <w:tc>
          <w:tcPr>
            <w:tcW w:type="dxa" w:w="5688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None 139; ambiguous display 13; wrong country 11; unequal arrays 6; missing affiliation 6</w:t>
            </w:r>
          </w:p>
        </w:tc>
        <w:tc>
          <w:tcPr>
            <w:tcW w:type="dxa" w:w="1080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60.6%</w:t>
            </w:r>
          </w:p>
        </w:tc>
        <w:tc>
          <w:tcPr>
            <w:tcW w:type="dxa" w:w="1080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color w:val="000000"/>
                <w:sz w:val="17"/>
              </w:rPr>
              <w:t>0.174</w:t>
            </w:r>
          </w:p>
        </w:tc>
      </w:tr>
    </w:tbl>
    <w:p>
      <w:pPr>
        <w:pStyle w:val="Caption"/>
        <w:spacing w:line="480" w:lineRule="auto" w:after="0"/>
      </w:pPr>
      <w:r>
        <w:rPr>
          <w:rFonts w:ascii="Times New Roman" w:hAnsi="Times New Roman" w:eastAsia="Times New Roman"/>
          <w:color w:val="000000"/>
          <w:sz w:val="24"/>
        </w:rPr>
        <w:t>Note. The sample deliberately over-represents seven diagnostic categories and is not a prevalence-weighted random sample of all records. The first pass used browser-assisted validation with independent human verification; the second pass was an independent human inspection of the visible Scopus record. All 75 field-level disagreement records were adjudicated from visible Scopus evidence: 12 observed-state disagreements were reopened directly, and the remainder used the human reviewer's detailed record notes together with saved first-pass evidence. Thus, the design must not be described as two independent human coders. Cohen's kappa for author-affiliation alignment is depressed by the extreme prevalence of Yes decisions and should be interpreted with raw agreement and adjudicated accuracy.</w:t>
      </w:r>
    </w:p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000000"/>
        <w:sz w:val="20"/>
      </w:rPr>
      <w:fldChar w:fldCharType="begin"/>
      <w:instrText xml:space="preserve"> PAGE </w:instrText>
      <w:fldChar w:fldCharType="separate"/>
      <w:t>1</w:t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480" w:lineRule="auto" w:after="0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0" w:line="480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0" w:line="480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20" w:after="0" w:line="480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480" w:lineRule="auto" w:before="0" w:after="0"/>
    </w:pPr>
    <w:rPr>
      <w:rFonts w:ascii="Times New Roman" w:hAnsi="Times New Roman"/>
      <w:b w:val="0"/>
      <w:bCs/>
      <w:color w:val="000000"/>
      <w:sz w:val="24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Supplementary material for Quantitative Science Studies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