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>Table 1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 xml:space="preserve"> Accuracy-Open Access Trade-offs in Multidimensional AI Model Benchmarking: A Comparative Analysis of GPT-4o, Grok-3, and DeepSeek-R1</w:t>
      </w:r>
    </w:p>
    <w:tbl>
      <w:tblPr>
        <w:tblStyle w:val="6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1"/>
        <w:gridCol w:w="2186"/>
        <w:gridCol w:w="1963"/>
        <w:gridCol w:w="1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36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bookmarkStart w:id="0" w:name="_Hlk194209422"/>
            <w:bookmarkStart w:id="1" w:name="OLE_LINK1" w:colFirst="0" w:colLast="3"/>
          </w:p>
        </w:tc>
        <w:tc>
          <w:tcPr>
            <w:tcW w:w="218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GPT-4o</w:t>
            </w:r>
          </w:p>
        </w:tc>
        <w:tc>
          <w:tcPr>
            <w:tcW w:w="196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Deep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eek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-R1</w:t>
            </w:r>
          </w:p>
        </w:tc>
        <w:tc>
          <w:tcPr>
            <w:tcW w:w="194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EastAsia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Grok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Accuracy</w:t>
            </w:r>
          </w:p>
        </w:tc>
        <w:tc>
          <w:tcPr>
            <w:tcW w:w="218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8.7</w:t>
            </w:r>
          </w:p>
        </w:tc>
        <w:tc>
          <w:tcPr>
            <w:tcW w:w="19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194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Clarity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Conciseness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Logic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9.2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ind w:firstLine="360" w:firstLineChars="200"/>
              <w:jc w:val="both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Overall Assessment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1F1F1F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Time spent on deep thinking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31s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34s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33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Cost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Georgia" w:cs="Times New Roman"/>
                <w:color w:val="1F1F1F"/>
                <w:sz w:val="18"/>
                <w:szCs w:val="18"/>
                <w:vertAlign w:val="baseline"/>
              </w:rPr>
              <w:t>$20/month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Georgia" w:cs="Times New Roman"/>
                <w:color w:val="1F1F1F"/>
                <w:sz w:val="18"/>
                <w:szCs w:val="18"/>
                <w:vertAlign w:val="baseline"/>
              </w:rPr>
              <w:t>Open Access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Georgia" w:cs="Times New Roman"/>
                <w:color w:val="1F1F1F"/>
                <w:sz w:val="18"/>
                <w:szCs w:val="18"/>
                <w:vertAlign w:val="baseline"/>
              </w:rPr>
              <w:t>Open Access</w:t>
            </w:r>
          </w:p>
        </w:tc>
      </w:tr>
      <w:bookmarkEnd w:id="0"/>
      <w:bookmarkEnd w:id="1"/>
    </w:tbl>
    <w:p>
      <w:pPr>
        <w:spacing w:line="240" w:lineRule="auto"/>
        <w:rPr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 xml:space="preserve">Table 2  </w:t>
      </w:r>
      <w:r>
        <w:rPr>
          <w:rFonts w:hint="eastAsia" w:ascii="Times New Roman" w:hAnsi="Times New Roman" w:cs="Times New Roman"/>
          <w:b/>
          <w:bCs/>
          <w:sz w:val="18"/>
          <w:szCs w:val="18"/>
          <w:vertAlign w:val="baseline"/>
          <w:lang w:val="en-US" w:eastAsia="zh-CN"/>
        </w:rPr>
        <w:t>METEOR Composite Score</w:t>
      </w:r>
    </w:p>
    <w:tbl>
      <w:tblPr>
        <w:tblStyle w:val="6"/>
        <w:tblW w:w="9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5"/>
        <w:gridCol w:w="2176"/>
        <w:gridCol w:w="1968"/>
        <w:gridCol w:w="1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bookmarkStart w:id="2" w:name="OLE_LINK2" w:colFirst="0" w:colLast="3"/>
          </w:p>
        </w:tc>
        <w:tc>
          <w:tcPr>
            <w:tcW w:w="21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GPT-4o</w:t>
            </w:r>
          </w:p>
        </w:tc>
        <w:tc>
          <w:tcPr>
            <w:tcW w:w="19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DeepSeek-R1</w:t>
            </w:r>
          </w:p>
        </w:tc>
        <w:tc>
          <w:tcPr>
            <w:tcW w:w="19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Grok-3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Fundamental Precision</w:t>
            </w:r>
          </w:p>
        </w:tc>
        <w:tc>
          <w:tcPr>
            <w:tcW w:w="2176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0.853</w:t>
            </w:r>
          </w:p>
        </w:tc>
        <w:tc>
          <w:tcPr>
            <w:tcW w:w="196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0.910</w:t>
            </w:r>
          </w:p>
        </w:tc>
        <w:tc>
          <w:tcPr>
            <w:tcW w:w="196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Logic-Oriented Recall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0.847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0.928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Semantic Matching Coefficient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0.832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0.870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0.792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METEOR Composite Score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0.841</w:t>
            </w:r>
          </w:p>
        </w:tc>
        <w:tc>
          <w:tcPr>
            <w:tcW w:w="19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0.893</w:t>
            </w:r>
          </w:p>
        </w:tc>
        <w:tc>
          <w:tcPr>
            <w:tcW w:w="19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bottom"/>
          </w:tcPr>
          <w:p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0.807</w:t>
            </w:r>
          </w:p>
        </w:tc>
      </w:tr>
      <w:bookmarkEnd w:id="2"/>
    </w:tbl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 xml:space="preserve">Table 3  AI in Oral Oncology: Comparative Performance of GPT-4o, Grok-3, and DeepSeek-R1 </w:t>
      </w:r>
    </w:p>
    <w:tbl>
      <w:tblPr>
        <w:tblStyle w:val="6"/>
        <w:tblW w:w="9689" w:type="dxa"/>
        <w:tblInd w:w="-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8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Type</w:t>
            </w:r>
          </w:p>
        </w:tc>
        <w:tc>
          <w:tcPr>
            <w:tcW w:w="896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Strengths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and </w:t>
            </w: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Limitations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GPT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-4o</w:t>
            </w:r>
          </w:p>
          <w:p>
            <w:pP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</w:p>
        </w:tc>
        <w:tc>
          <w:tcPr>
            <w:tcW w:w="896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Strengths: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①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>Etiology: Accurately identifies tobacco and alcohol as primary risk factors for oral cancers, with HPV linked to oropharyngeal malignancies, aligning with guideline-recommended p16 testing.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②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>Diagnosis/Treatment: Validates biopsy and imaging for diagnosis, and outlines surgery, radiotherapy, and chemotherapy as core treatments, consistent with NCCN principles.</w:t>
            </w:r>
          </w:p>
          <w:p>
            <w:pPr>
              <w:spacing w:after="0" w:line="240" w:lineRule="auto"/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Limitations: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①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>Stage-Specific Strategies: Lacks detailed TNM-based approaches (e.g., T1-T4, N0-N3) for surgical extent, radiation dose adjustments (e.g., HPV-related de-escalation), or adjuvant therapy.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②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 xml:space="preserve">MDT Integration: Omits multidisciplinary team roles (e.g., surgical planning, toxicity management), a critical NCCN emphasis for optimizing outcomes.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Grok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3</w:t>
            </w:r>
          </w:p>
          <w:p>
            <w:pP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</w:p>
        </w:tc>
        <w:tc>
          <w:tcPr>
            <w:tcW w:w="89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spacing w:beforeAutospacing="0" w:afterAutospacing="0"/>
              <w:rPr>
                <w:rFonts w:ascii="Times New Roman" w:hAnsi="Times New Roman" w:eastAsia="华文中宋" w:cs="Times New Roman"/>
                <w:b/>
                <w:bCs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kern w:val="2"/>
                <w:sz w:val="18"/>
                <w:szCs w:val="18"/>
                <w:vertAlign w:val="baseline"/>
                <w:lang w:bidi="ar-SA"/>
              </w:rPr>
              <w:t>Strengths: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①Risk Factor Accuracy: Correctly identifies smoking and alcohol as primary risk factors for oral cancers, consistent with NCCN guidelines.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②Diagnostic/Therapeutic Validity: Aligns with guideline-recommended diagnostic modalities (biopsy, imaging) and core treatments (surgery, radiotherapy, chemotherapy).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③Accessibility: Clear language enhances accessibility for non-specialist audiences.</w:t>
            </w:r>
          </w:p>
          <w:p>
            <w:pPr>
              <w:spacing w:after="0" w:line="240" w:lineRule="auto"/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Limitations: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①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>HPV Contextualization: Fails to clarify HPV’s distinct role in oropharyngeal versus oral cavity cancers, risking misinterpretation (guidelines prioritize HPV/p16 testing for oropharyngeal cases).</w:t>
            </w:r>
          </w:p>
          <w:p>
            <w:pPr>
              <w:spacing w:after="0" w:line="240" w:lineRule="auto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  <w:lang w:val="en-US" w:eastAsia="zh-CN"/>
              </w:rPr>
              <w:t>②</w:t>
            </w:r>
            <w:r>
              <w:rPr>
                <w:rFonts w:ascii="Times New Roman" w:hAnsi="Times New Roman" w:eastAsia="华文中宋" w:cs="Times New Roman"/>
                <w:sz w:val="18"/>
                <w:szCs w:val="18"/>
                <w:vertAlign w:val="baseline"/>
              </w:rPr>
              <w:t>Therapeutic Specificity: Omits critical details such as postoperative radiation doses (45–66 Gy) and TNM stage-driven strategies (e.g., T1-N0 vs. T4-N3 management).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Deepseek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-R1</w:t>
            </w:r>
          </w:p>
          <w:p>
            <w:pP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</w:p>
        </w:tc>
        <w:tc>
          <w:tcPr>
            <w:tcW w:w="89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pStyle w:val="4"/>
              <w:spacing w:beforeAutospacing="0" w:afterAutospacing="0"/>
              <w:rPr>
                <w:rFonts w:ascii="Times New Roman" w:hAnsi="Times New Roman" w:eastAsia="华文中宋" w:cs="Times New Roman"/>
                <w:b/>
                <w:bCs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kern w:val="2"/>
                <w:sz w:val="18"/>
                <w:szCs w:val="18"/>
                <w:vertAlign w:val="baseline"/>
                <w:lang w:bidi="ar-SA"/>
              </w:rPr>
              <w:t>Strengths: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①Risk Factor Alignment: Accurately identifies smoking, alcohol, and HPV infection as key risk factors, with HPV specifically emphasized in oropharyngeal cancers 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②Diagnostic Protocol Consistency: Matches guideline-recommended workflow (clinical exam, CT/MRI/PET-CT imaging, HPV testing).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③Treatment Principle Adherence: Aligns with multidisciplinary collaboration and stage-specific strategies (NCCN "Multidisciplinary Team" and "Principles of Surgery/Radiation/Systemic Therapy").</w:t>
            </w:r>
          </w:p>
          <w:p>
            <w:pPr>
              <w:spacing w:after="0" w:line="240" w:lineRule="auto"/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ascii="Times New Roman" w:hAnsi="Times New Roman" w:eastAsia="华文中宋" w:cs="Times New Roman"/>
                <w:b/>
                <w:bCs/>
                <w:sz w:val="18"/>
                <w:szCs w:val="18"/>
                <w:vertAlign w:val="baseline"/>
              </w:rPr>
              <w:t>Limitations: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①Anatomic Clarification: Requires explicit distinction between oral cavity cancers (e.g., tongue, buccal mucosa) and HPV-driven oropharyngeal cancers (e.g., tonsil, base of tongue), per NCCN etiologic stratification.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②Terminology Precision: Replace "genetic testing" with guideline-specific biomarkers (e.g., NGS profiling for CPS, TMB in SYST-A updates).</w:t>
            </w:r>
          </w:p>
          <w:p>
            <w:pPr>
              <w:pStyle w:val="4"/>
              <w:spacing w:beforeAutospacing="0" w:afterAutospacing="0"/>
              <w:ind w:firstLine="180" w:firstLineChars="100"/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华文中宋" w:cs="Times New Roman"/>
                <w:kern w:val="2"/>
                <w:sz w:val="18"/>
                <w:szCs w:val="18"/>
                <w:vertAlign w:val="baseline"/>
                <w:lang w:bidi="ar-SA"/>
              </w:rPr>
              <w:t>③Targeted Therapy Specificity: Include drug examples (e.g., nivolumab, pembrolizumab) to enhance clinical applicability.</w:t>
            </w:r>
          </w:p>
        </w:tc>
      </w:tr>
    </w:tbl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18"/>
          <w:szCs w:val="18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>Table4 A Tri-Model Comparative Analysis of AI Performance in Oral Cancer Treatment Metrics</w:t>
      </w:r>
    </w:p>
    <w:tbl>
      <w:tblPr>
        <w:tblStyle w:val="6"/>
        <w:tblW w:w="9117" w:type="dxa"/>
        <w:tblInd w:w="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8"/>
        <w:gridCol w:w="1775"/>
        <w:gridCol w:w="1724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GPT-4o</w:t>
            </w:r>
          </w:p>
        </w:tc>
        <w:tc>
          <w:tcPr>
            <w:tcW w:w="17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Deepseek-R1</w:t>
            </w:r>
          </w:p>
        </w:tc>
        <w:tc>
          <w:tcPr>
            <w:tcW w:w="18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Grok-3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81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Regularity of the treatment process</w:t>
            </w:r>
          </w:p>
        </w:tc>
        <w:tc>
          <w:tcPr>
            <w:tcW w:w="177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85.28</w:t>
            </w:r>
          </w:p>
        </w:tc>
        <w:tc>
          <w:tcPr>
            <w:tcW w:w="172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85.14</w:t>
            </w:r>
          </w:p>
        </w:tc>
        <w:tc>
          <w:tcPr>
            <w:tcW w:w="180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87.42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Diagnostic accuracy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86.94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78.94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Accuracy of the treatment regimen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78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Assessment of the whole-body status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Accuracy of the surgical resection range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Accuracy of the radiation dose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Evaluation of prognosis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Comprehensive score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68.61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87.44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77.77</w:t>
            </w:r>
          </w:p>
        </w:tc>
      </w:tr>
    </w:tbl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sz w:val="18"/>
          <w:szCs w:val="18"/>
          <w:vertAlign w:val="baseline"/>
        </w:rPr>
      </w:pPr>
    </w:p>
    <w:p>
      <w:pP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</w:pPr>
      <w:bookmarkStart w:id="3" w:name="_GoBack"/>
      <w:bookmarkEnd w:id="3"/>
      <w:r>
        <w:rPr>
          <w:rFonts w:hint="eastAsia" w:ascii="Times New Roman" w:hAnsi="Times New Roman" w:eastAsia="宋体" w:cs="Times New Roman"/>
          <w:b/>
          <w:bCs/>
          <w:sz w:val="18"/>
          <w:szCs w:val="18"/>
          <w:vertAlign w:val="baseline"/>
          <w:lang w:val="en-US" w:eastAsia="zh-CN"/>
        </w:rPr>
        <w:t>Table 5 Differential Strengths in AI-Driven Oral Cancer Care</w:t>
      </w:r>
    </w:p>
    <w:tbl>
      <w:tblPr>
        <w:tblStyle w:val="6"/>
        <w:tblW w:w="5170" w:type="pct"/>
        <w:tblInd w:w="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1588"/>
        <w:gridCol w:w="1630"/>
        <w:gridCol w:w="1630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2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0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2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GPT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-4o</w:t>
            </w:r>
          </w:p>
        </w:tc>
        <w:tc>
          <w:tcPr>
            <w:tcW w:w="92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Deepseek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-R1</w:t>
            </w:r>
          </w:p>
        </w:tc>
        <w:tc>
          <w:tcPr>
            <w:tcW w:w="92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Grok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Regularity of the treatment process</w:t>
            </w:r>
          </w:p>
        </w:tc>
        <w:tc>
          <w:tcPr>
            <w:tcW w:w="900" w:type="pct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47</w:t>
            </w:r>
          </w:p>
        </w:tc>
        <w:tc>
          <w:tcPr>
            <w:tcW w:w="924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42.8</w:t>
            </w:r>
          </w:p>
        </w:tc>
        <w:tc>
          <w:tcPr>
            <w:tcW w:w="924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56.4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37.8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cs="Times New Roman" w:eastAsiaTheme="minorHAnsi"/>
                <w:kern w:val="0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Clinical diagnosis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50.4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36.6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Choice of Surgical Procedure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29.8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24.6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36.6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18.8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Extent of surgical resection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29.2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23.4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HAnsi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23.6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Management of lymph nodes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20.4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33.6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14.6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Dose of radiotherapy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35.6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43.4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57.4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Prognosticmeasures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ROUGE-L：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30.6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pct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8"/>
                <w:szCs w:val="18"/>
                <w:vertAlign w:val="baseline"/>
              </w:rPr>
              <w:t>BLEU-4：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32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25.6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26.2</w:t>
            </w:r>
          </w:p>
        </w:tc>
      </w:tr>
    </w:tbl>
    <w:p>
      <w:pPr>
        <w:jc w:val="center"/>
        <w:rPr>
          <w:sz w:val="18"/>
          <w:szCs w:val="18"/>
          <w:vertAlign w:val="baseli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C441E"/>
    <w:rsid w:val="00B66295"/>
    <w:rsid w:val="00CC7E59"/>
    <w:rsid w:val="00D37170"/>
    <w:rsid w:val="00F256A6"/>
    <w:rsid w:val="0A914C90"/>
    <w:rsid w:val="25945ED0"/>
    <w:rsid w:val="26097757"/>
    <w:rsid w:val="342B5426"/>
    <w:rsid w:val="342E6901"/>
    <w:rsid w:val="4ECD349D"/>
    <w:rsid w:val="4F045E2D"/>
    <w:rsid w:val="52D6334C"/>
    <w:rsid w:val="5C4F56B0"/>
    <w:rsid w:val="606A448A"/>
    <w:rsid w:val="60D73CD8"/>
    <w:rsid w:val="6B1854C0"/>
    <w:rsid w:val="6FD64753"/>
    <w:rsid w:val="74CC441E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</w:pPr>
    <w:rPr>
      <w:rFonts w:cs="Times New Roman"/>
      <w:kern w:val="0"/>
      <w:lang w:val="en-US" w:eastAsia="zh-CN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eastAsiaTheme="minorHAnsi"/>
      <w:kern w:val="2"/>
      <w:sz w:val="18"/>
      <w:szCs w:val="18"/>
      <w:lang w:val="it-IT" w:eastAsia="en-US"/>
      <w14:ligatures w14:val="standardContextual"/>
    </w:rPr>
  </w:style>
  <w:style w:type="character" w:customStyle="1" w:styleId="10">
    <w:name w:val="页脚 字符"/>
    <w:basedOn w:val="7"/>
    <w:link w:val="2"/>
    <w:qFormat/>
    <w:uiPriority w:val="0"/>
    <w:rPr>
      <w:rFonts w:eastAsiaTheme="minorHAnsi"/>
      <w:kern w:val="2"/>
      <w:sz w:val="18"/>
      <w:szCs w:val="18"/>
      <w:lang w:val="it-IT" w:eastAsia="en-U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580</Words>
  <Characters>3633</Characters>
  <Lines>20</Lines>
  <Paragraphs>5</Paragraphs>
  <TotalTime>5</TotalTime>
  <ScaleCrop>false</ScaleCrop>
  <LinksUpToDate>false</LinksUpToDate>
  <CharactersWithSpaces>4010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2025-03-07T16:39:00Z</dcterms:created>
  <dc:creator>11604</dc:creator>
  <cp:lastModifiedBy>小小乌鸦</cp:lastModifiedBy>
  <dcterms:modified xsi:type="dcterms:W3CDTF">2026-08-21T14:43:54Z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0C397F67826246E8ADDA480840681879_13</vt:lpwstr>
  </property>
  <property fmtid="{D5CDD505-2E9C-101B-9397-08002B2CF9AE}" pid="4" name="KSOTemplateDocerSaveRecord">
    <vt:lpwstr>eyJoZGlkIjoiMzI4YWU5ZTVkOTcxNmM2YjVhY2VkOWYzZWRiYjU3OWMiLCJ1c2VySWQiOiI0MTkyOTA2NDkifQ==</vt:lpwstr>
  </property>
</Properties>
</file>