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2B3E68" w14:textId="4B73D782" w:rsidR="0091018E" w:rsidRPr="0091018E" w:rsidRDefault="0091018E" w:rsidP="0091018E">
      <w:pPr>
        <w:widowControl w:val="0"/>
        <w:autoSpaceDE w:val="0"/>
        <w:autoSpaceDN w:val="0"/>
        <w:adjustRightInd w:val="0"/>
        <w:spacing w:line="240" w:lineRule="auto"/>
        <w:rPr>
          <w:rFonts w:cs="Times New Roman"/>
          <w:b/>
          <w:bCs/>
          <w:sz w:val="20"/>
          <w:szCs w:val="20"/>
          <w:lang w:val="en-GB"/>
        </w:rPr>
      </w:pPr>
      <w:r>
        <w:rPr>
          <w:rFonts w:cs="Times New Roman"/>
          <w:b/>
          <w:bCs/>
          <w:sz w:val="20"/>
          <w:szCs w:val="20"/>
          <w:lang w:val="en-GB"/>
        </w:rPr>
        <w:t>L</w:t>
      </w:r>
      <w:r w:rsidRPr="0091018E">
        <w:rPr>
          <w:rFonts w:cs="Times New Roman"/>
          <w:b/>
          <w:bCs/>
          <w:sz w:val="20"/>
          <w:szCs w:val="20"/>
          <w:lang w:val="en-GB"/>
        </w:rPr>
        <w:t xml:space="preserve">ist of studies included in the qualitative synthesis </w:t>
      </w:r>
    </w:p>
    <w:p w14:paraId="1505D3E8"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sz w:val="20"/>
          <w:szCs w:val="20"/>
          <w:lang w:val="en-GB"/>
        </w:rPr>
        <w:fldChar w:fldCharType="begin" w:fldLock="1"/>
      </w:r>
      <w:r w:rsidRPr="0091018E">
        <w:rPr>
          <w:rFonts w:cs="Times New Roman"/>
          <w:sz w:val="20"/>
          <w:szCs w:val="20"/>
          <w:lang w:val="en-GB"/>
        </w:rPr>
        <w:instrText xml:space="preserve">ADDIN Mendeley Bibliography CSL_BIBLIOGRAPHY </w:instrText>
      </w:r>
      <w:r w:rsidRPr="0091018E">
        <w:rPr>
          <w:rFonts w:cs="Times New Roman"/>
          <w:sz w:val="20"/>
          <w:szCs w:val="20"/>
          <w:lang w:val="en-GB"/>
        </w:rPr>
        <w:fldChar w:fldCharType="separate"/>
      </w:r>
      <w:r w:rsidRPr="0091018E">
        <w:rPr>
          <w:rFonts w:cs="Times New Roman"/>
          <w:noProof/>
          <w:sz w:val="20"/>
          <w:szCs w:val="24"/>
          <w:lang w:val="en-GB"/>
        </w:rPr>
        <w:t xml:space="preserve">1. </w:t>
      </w:r>
      <w:r w:rsidRPr="0091018E">
        <w:rPr>
          <w:rFonts w:cs="Times New Roman"/>
          <w:noProof/>
          <w:sz w:val="20"/>
          <w:szCs w:val="24"/>
          <w:lang w:val="en-GB"/>
        </w:rPr>
        <w:tab/>
        <w:t xml:space="preserve">Atiba Y, Olubodun T, Odukoya O. Young Peoples’ support for a smoke-free campus policy: A case for smoke-free campuses in the statewide smoking law in Lagos State, Nigeria. Ann Afr Med. 2020;19(1):53. </w:t>
      </w:r>
    </w:p>
    <w:p w14:paraId="1B9F20A2"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2. </w:t>
      </w:r>
      <w:r w:rsidRPr="0091018E">
        <w:rPr>
          <w:rFonts w:cs="Times New Roman"/>
          <w:noProof/>
          <w:sz w:val="20"/>
          <w:szCs w:val="24"/>
          <w:lang w:val="en-GB"/>
        </w:rPr>
        <w:tab/>
        <w:t xml:space="preserve">Ayo-Yusuf OA, Olufajo O, Agaku IT. Exposure to secondhand smoke and voluntary adoption of smoke-free home and car rules among non-smoking South African adults. BMC Public Health. 2014 Dec 10;14(1):580. </w:t>
      </w:r>
    </w:p>
    <w:p w14:paraId="42B3A6EA"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3. </w:t>
      </w:r>
      <w:r w:rsidRPr="0091018E">
        <w:rPr>
          <w:rFonts w:cs="Times New Roman"/>
          <w:noProof/>
          <w:sz w:val="20"/>
          <w:szCs w:val="24"/>
          <w:lang w:val="en-GB"/>
        </w:rPr>
        <w:tab/>
        <w:t xml:space="preserve">Gravely S, Nyamurungi KN, Kabwama SN, Okello G, Robertson L, Heng KKC, et al. Knowledge, opinions and compliance related to the 100% smoke-free law in hospitality venues in Kampala, Uganda: cross-sectional results from the KOMPLY Project. BMJ Open. 2018 Jan 5;8(1):e017601. </w:t>
      </w:r>
    </w:p>
    <w:p w14:paraId="01174477"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4. </w:t>
      </w:r>
      <w:r w:rsidRPr="0091018E">
        <w:rPr>
          <w:rFonts w:cs="Times New Roman"/>
          <w:noProof/>
          <w:sz w:val="20"/>
          <w:szCs w:val="24"/>
          <w:lang w:val="en-GB"/>
        </w:rPr>
        <w:tab/>
        <w:t xml:space="preserve">Talley B, Masyn K, Chandora R, Vivolo-Kantor A. Multilevel analysis of school anti-smoking education and current cigarette use among South African students. Pan Afr Med J. 2017;26:1–12. </w:t>
      </w:r>
    </w:p>
    <w:p w14:paraId="74AA3A75"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5. </w:t>
      </w:r>
      <w:r w:rsidRPr="0091018E">
        <w:rPr>
          <w:rFonts w:cs="Times New Roman"/>
          <w:noProof/>
          <w:sz w:val="20"/>
          <w:szCs w:val="24"/>
          <w:lang w:val="en-GB"/>
        </w:rPr>
        <w:tab/>
        <w:t xml:space="preserve">Owusu-Dabo E, Lewis S, McNeill A, Gilmore A, Britton J. Support for smoke-free policy, and awareness of tobacco health effects and use of smoking cessation therapy in a developing country. BMC Public Health. 2011 Dec 18;11(1):572. </w:t>
      </w:r>
    </w:p>
    <w:p w14:paraId="4191814F"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6. </w:t>
      </w:r>
      <w:r w:rsidRPr="0091018E">
        <w:rPr>
          <w:rFonts w:cs="Times New Roman"/>
          <w:noProof/>
          <w:sz w:val="20"/>
          <w:szCs w:val="24"/>
          <w:lang w:val="en-GB"/>
        </w:rPr>
        <w:tab/>
        <w:t xml:space="preserve">Radwan GN, Emam AH, Maher KM, Mehrez M, El-Sayed N, El-Nahas GM. Public opinion on smoke-free policies among Egyptians. Int J Tuberc Lung Dis. 2012 Oct 1;16(10):1412–7. </w:t>
      </w:r>
    </w:p>
    <w:p w14:paraId="061A7ACF"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7. </w:t>
      </w:r>
      <w:r w:rsidRPr="0091018E">
        <w:rPr>
          <w:rFonts w:cs="Times New Roman"/>
          <w:noProof/>
          <w:sz w:val="20"/>
          <w:szCs w:val="24"/>
          <w:lang w:val="en-GB"/>
        </w:rPr>
        <w:tab/>
        <w:t xml:space="preserve">Robertson L, Nyamurungi KN, Gravely S, Rusatira JC, Oginni A, Kabwama SN, et al. Implementation of 100% smoke-free law in Uganda: a qualitative study exploring civil society’s perspective. BMC Public Health. 2018 Dec 28;18(1):927. </w:t>
      </w:r>
    </w:p>
    <w:p w14:paraId="40E61923"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8. </w:t>
      </w:r>
      <w:r w:rsidRPr="0091018E">
        <w:rPr>
          <w:rFonts w:cs="Times New Roman"/>
          <w:noProof/>
          <w:sz w:val="20"/>
          <w:szCs w:val="24"/>
          <w:lang w:val="en-GB"/>
        </w:rPr>
        <w:tab/>
        <w:t xml:space="preserve">Little M, Van Walbeek C. Restaurant smoking sections in South Africa and the perceived impact of the proposed smoke-free laws: Evidence from a nationally representative survey. South African Med J. 2018 Feb 27;108(3):240. </w:t>
      </w:r>
    </w:p>
    <w:p w14:paraId="565F278F"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9. </w:t>
      </w:r>
      <w:r w:rsidRPr="0091018E">
        <w:rPr>
          <w:rFonts w:cs="Times New Roman"/>
          <w:noProof/>
          <w:sz w:val="20"/>
          <w:szCs w:val="24"/>
          <w:lang w:val="en-GB"/>
        </w:rPr>
        <w:tab/>
        <w:t xml:space="preserve">Ayo-Yusuf OA, Olutola BG, Agaku IT. Permissiveness toward tobacco sponsorship undermines tobacco control support in Africa. Health Promot Int. 2016 Jun;31(2):414–22. </w:t>
      </w:r>
    </w:p>
    <w:p w14:paraId="1B7D7C9B"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10. </w:t>
      </w:r>
      <w:r w:rsidRPr="0091018E">
        <w:rPr>
          <w:rFonts w:cs="Times New Roman"/>
          <w:noProof/>
          <w:sz w:val="20"/>
          <w:szCs w:val="24"/>
          <w:lang w:val="en-GB"/>
        </w:rPr>
        <w:tab/>
        <w:t xml:space="preserve">Winkler V, Lan Y, Becher H. Tobacco prevention policies in west-African countries and their effects on smoking prevalence. BMC Public Health. 2015 Dec 8;15(1):1216. </w:t>
      </w:r>
    </w:p>
    <w:p w14:paraId="3822101D"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11. </w:t>
      </w:r>
      <w:r w:rsidRPr="0091018E">
        <w:rPr>
          <w:rFonts w:cs="Times New Roman"/>
          <w:noProof/>
          <w:sz w:val="20"/>
          <w:szCs w:val="24"/>
          <w:lang w:val="en-GB"/>
        </w:rPr>
        <w:tab/>
        <w:t xml:space="preserve">English LM, Hsia J, Malarcher A. Tobacco advertising, promotion, and sponsorship (TAPS) exposure, anti-TAPS policies, and students’ smoking behavior in Botswana and South Africa. Prev Med (Baltim). 2016 Oct;91:S28–34. </w:t>
      </w:r>
    </w:p>
    <w:p w14:paraId="0DD0FF28"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12. </w:t>
      </w:r>
      <w:r w:rsidRPr="0091018E">
        <w:rPr>
          <w:rFonts w:cs="Times New Roman"/>
          <w:noProof/>
          <w:sz w:val="20"/>
          <w:szCs w:val="24"/>
          <w:lang w:val="en-GB"/>
        </w:rPr>
        <w:tab/>
        <w:t xml:space="preserve">Cheyip MYNCK, Nelson G, Ross MH, Murray J. South African platinum mine employees reduce smoking in 5 years. Tob Control. 2007 Jun 1;16(3):197–201. </w:t>
      </w:r>
    </w:p>
    <w:p w14:paraId="25D9541C"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13. </w:t>
      </w:r>
      <w:r w:rsidRPr="0091018E">
        <w:rPr>
          <w:rFonts w:cs="Times New Roman"/>
          <w:noProof/>
          <w:sz w:val="20"/>
          <w:szCs w:val="24"/>
          <w:lang w:val="en-GB"/>
        </w:rPr>
        <w:tab/>
        <w:t xml:space="preserve">Abedian I, Jacobs R. Tobacco taxes and government revenue in South Africa. J Econ Stud. 2001 Dec;28(6):397–407. </w:t>
      </w:r>
    </w:p>
    <w:p w14:paraId="1D7C80F4"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14. </w:t>
      </w:r>
      <w:r w:rsidRPr="0091018E">
        <w:rPr>
          <w:rFonts w:cs="Times New Roman"/>
          <w:noProof/>
          <w:sz w:val="20"/>
          <w:szCs w:val="24"/>
          <w:lang w:val="en-GB"/>
        </w:rPr>
        <w:tab/>
        <w:t xml:space="preserve">Berthet Valdois J, Van Walbeek C, Ross H, Soondram H, Jugurnath B, Chan Sun M, et al. Tobacco industry tactics in response to cigarette excise tax increases in Mauritius. Tob Control. 2019 Nov 4;(July 2008):tobaccocontrol-2019-055196. </w:t>
      </w:r>
    </w:p>
    <w:p w14:paraId="4C6BCEC1"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15. </w:t>
      </w:r>
      <w:r w:rsidRPr="0091018E">
        <w:rPr>
          <w:rFonts w:cs="Times New Roman"/>
          <w:noProof/>
          <w:sz w:val="20"/>
          <w:szCs w:val="24"/>
          <w:lang w:val="en-GB"/>
        </w:rPr>
        <w:tab/>
        <w:t xml:space="preserve">Blecher E. Taxes on tobacco, alcohol and sugar sweetened beverages: Linkages and lessons learned. Soc Sci Med. 2015 Jul;136–137:175–9. </w:t>
      </w:r>
    </w:p>
    <w:p w14:paraId="5EE7B234"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szCs w:val="24"/>
          <w:lang w:val="en-GB"/>
        </w:rPr>
      </w:pPr>
      <w:r w:rsidRPr="0091018E">
        <w:rPr>
          <w:rFonts w:cs="Times New Roman"/>
          <w:noProof/>
          <w:sz w:val="20"/>
          <w:szCs w:val="24"/>
          <w:lang w:val="en-GB"/>
        </w:rPr>
        <w:t xml:space="preserve">16. </w:t>
      </w:r>
      <w:r w:rsidRPr="0091018E">
        <w:rPr>
          <w:rFonts w:cs="Times New Roman"/>
          <w:noProof/>
          <w:sz w:val="20"/>
          <w:szCs w:val="24"/>
          <w:lang w:val="en-GB"/>
        </w:rPr>
        <w:tab/>
        <w:t xml:space="preserve">Tingum E, Mukong A, Mdege N. The effects of price and non-price policies on cigarette consumption in South Africa. Tob Induc Dis. 2020 Jul 23;18(July):62. </w:t>
      </w:r>
    </w:p>
    <w:p w14:paraId="79AC6AE6" w14:textId="77777777" w:rsidR="0091018E" w:rsidRPr="0091018E" w:rsidRDefault="0091018E" w:rsidP="0091018E">
      <w:pPr>
        <w:widowControl w:val="0"/>
        <w:autoSpaceDE w:val="0"/>
        <w:autoSpaceDN w:val="0"/>
        <w:adjustRightInd w:val="0"/>
        <w:spacing w:line="240" w:lineRule="auto"/>
        <w:ind w:left="640" w:hanging="640"/>
        <w:rPr>
          <w:rFonts w:cs="Times New Roman"/>
          <w:noProof/>
          <w:sz w:val="20"/>
          <w:lang w:val="en-GB"/>
        </w:rPr>
      </w:pPr>
      <w:r w:rsidRPr="0091018E">
        <w:rPr>
          <w:rFonts w:cs="Times New Roman"/>
          <w:noProof/>
          <w:sz w:val="20"/>
          <w:szCs w:val="24"/>
          <w:lang w:val="en-GB"/>
        </w:rPr>
        <w:t xml:space="preserve">17. </w:t>
      </w:r>
      <w:r w:rsidRPr="0091018E">
        <w:rPr>
          <w:rFonts w:cs="Times New Roman"/>
          <w:noProof/>
          <w:sz w:val="20"/>
          <w:szCs w:val="24"/>
          <w:lang w:val="en-GB"/>
        </w:rPr>
        <w:tab/>
        <w:t xml:space="preserve">Nargis N, Manneh Y, Krubally B, Jobe B, Ouma AEO, Tcha-Kondor N, et al. How effective has tobacco tax increase been in the Gambia? A case study of tobacco control. BMJ Open. 2016 Aug 26;6(8):e010413. </w:t>
      </w:r>
    </w:p>
    <w:p w14:paraId="1C536E42" w14:textId="668DFCFA" w:rsidR="006E2DFF" w:rsidRPr="0091018E" w:rsidRDefault="0091018E" w:rsidP="0091018E">
      <w:r w:rsidRPr="0091018E">
        <w:rPr>
          <w:rFonts w:cs="Times New Roman"/>
          <w:sz w:val="20"/>
          <w:szCs w:val="20"/>
          <w:lang w:val="en-GB"/>
        </w:rPr>
        <w:fldChar w:fldCharType="end"/>
      </w:r>
    </w:p>
    <w:sectPr w:rsidR="006E2DFF" w:rsidRPr="009101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642230"/>
    <w:multiLevelType w:val="multilevel"/>
    <w:tmpl w:val="2B78239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5FE06913"/>
    <w:multiLevelType w:val="multilevel"/>
    <w:tmpl w:val="BCEE705A"/>
    <w:lvl w:ilvl="0">
      <w:start w:val="1"/>
      <w:numFmt w:val="decimal"/>
      <w:pStyle w:val="Heading1"/>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1"/>
  </w:num>
  <w:num w:numId="2">
    <w:abstractNumId w:val="1"/>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88D"/>
    <w:rsid w:val="00015DDB"/>
    <w:rsid w:val="00031A4B"/>
    <w:rsid w:val="00043FBD"/>
    <w:rsid w:val="000577D6"/>
    <w:rsid w:val="000C0597"/>
    <w:rsid w:val="004B37AE"/>
    <w:rsid w:val="005E3FB3"/>
    <w:rsid w:val="006E2DFF"/>
    <w:rsid w:val="00742F4E"/>
    <w:rsid w:val="008D5AA9"/>
    <w:rsid w:val="0091018E"/>
    <w:rsid w:val="00AC2446"/>
    <w:rsid w:val="00AE5DD6"/>
    <w:rsid w:val="00B60CF8"/>
    <w:rsid w:val="00B9388D"/>
    <w:rsid w:val="00DB62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2E81D"/>
  <w15:chartTrackingRefBased/>
  <w15:docId w15:val="{A222A921-8999-467B-AAE9-349067A3D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A4B"/>
    <w:pPr>
      <w:spacing w:line="360" w:lineRule="auto"/>
      <w:jc w:val="both"/>
    </w:pPr>
    <w:rPr>
      <w:rFonts w:ascii="Times New Roman" w:hAnsi="Times New Roman"/>
      <w:sz w:val="24"/>
      <w:lang w:val="en-US"/>
    </w:rPr>
  </w:style>
  <w:style w:type="paragraph" w:styleId="Heading1">
    <w:name w:val="heading 1"/>
    <w:basedOn w:val="Normal"/>
    <w:next w:val="Normal"/>
    <w:link w:val="Heading1Char"/>
    <w:autoRedefine/>
    <w:uiPriority w:val="9"/>
    <w:qFormat/>
    <w:rsid w:val="005E3FB3"/>
    <w:pPr>
      <w:keepNext/>
      <w:keepLines/>
      <w:numPr>
        <w:numId w:val="2"/>
      </w:numPr>
      <w:spacing w:before="240"/>
      <w:outlineLvl w:val="0"/>
    </w:pPr>
    <w:rPr>
      <w:rFonts w:eastAsiaTheme="majorEastAsia" w:cstheme="majorBidi"/>
      <w:b/>
      <w:sz w:val="28"/>
      <w:szCs w:val="32"/>
    </w:rPr>
  </w:style>
  <w:style w:type="paragraph" w:styleId="Heading2">
    <w:name w:val="heading 2"/>
    <w:basedOn w:val="Normal"/>
    <w:next w:val="Normal"/>
    <w:link w:val="Heading2Char"/>
    <w:autoRedefine/>
    <w:uiPriority w:val="9"/>
    <w:unhideWhenUsed/>
    <w:qFormat/>
    <w:rsid w:val="00AC2446"/>
    <w:pPr>
      <w:keepNext/>
      <w:keepLines/>
      <w:spacing w:line="259" w:lineRule="auto"/>
      <w:jc w:val="left"/>
      <w:outlineLvl w:val="1"/>
    </w:pPr>
    <w:rPr>
      <w:rFonts w:eastAsiaTheme="majorEastAsia" w:cstheme="majorBidi"/>
      <w:szCs w:val="26"/>
      <w:lang w:val="en-GB"/>
    </w:rPr>
  </w:style>
  <w:style w:type="paragraph" w:styleId="Heading3">
    <w:name w:val="heading 3"/>
    <w:basedOn w:val="Normal"/>
    <w:next w:val="Normal"/>
    <w:link w:val="Heading3Char"/>
    <w:autoRedefine/>
    <w:uiPriority w:val="9"/>
    <w:unhideWhenUsed/>
    <w:qFormat/>
    <w:rsid w:val="005E3FB3"/>
    <w:pPr>
      <w:keepNext/>
      <w:keepLines/>
      <w:numPr>
        <w:ilvl w:val="2"/>
        <w:numId w:val="2"/>
      </w:numPr>
      <w:spacing w:before="40"/>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77D6"/>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AC2446"/>
    <w:rPr>
      <w:rFonts w:ascii="Times New Roman" w:eastAsiaTheme="majorEastAsia" w:hAnsi="Times New Roman" w:cstheme="majorBidi"/>
      <w:sz w:val="24"/>
      <w:szCs w:val="26"/>
    </w:rPr>
  </w:style>
  <w:style w:type="character" w:customStyle="1" w:styleId="Heading3Char">
    <w:name w:val="Heading 3 Char"/>
    <w:basedOn w:val="DefaultParagraphFont"/>
    <w:link w:val="Heading3"/>
    <w:uiPriority w:val="9"/>
    <w:rsid w:val="00B60CF8"/>
    <w:rPr>
      <w:rFonts w:ascii="Times New Roman" w:eastAsiaTheme="majorEastAsia" w:hAnsi="Times New Roman" w:cstheme="majorBidi"/>
      <w:b/>
      <w:sz w:val="24"/>
      <w:szCs w:val="24"/>
    </w:rPr>
  </w:style>
  <w:style w:type="paragraph" w:styleId="NoSpacing">
    <w:name w:val="No Spacing"/>
    <w:autoRedefine/>
    <w:uiPriority w:val="1"/>
    <w:qFormat/>
    <w:rsid w:val="000C0597"/>
    <w:pPr>
      <w:spacing w:after="0" w:line="240" w:lineRule="auto"/>
      <w:jc w:val="both"/>
    </w:pPr>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514</Words>
  <Characters>2931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Chidimbah Munthali</dc:creator>
  <cp:keywords/>
  <dc:description/>
  <cp:lastModifiedBy>George Chidimbah Munthali</cp:lastModifiedBy>
  <cp:revision>3</cp:revision>
  <dcterms:created xsi:type="dcterms:W3CDTF">2020-10-27T11:38:00Z</dcterms:created>
  <dcterms:modified xsi:type="dcterms:W3CDTF">2020-11-11T06:57:00Z</dcterms:modified>
</cp:coreProperties>
</file>