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suppressLineNumbers/>
        <w:spacing w:before="240" w:after="120" w:line="240" w:lineRule="auto"/>
        <w:jc w:val="center"/>
        <w:rPr>
          <w:rFonts w:ascii="Times New Roman" w:hAnsi="Times New Roman" w:eastAsia="Calibri" w:cs="Times New Roman"/>
          <w:b w:val="0"/>
          <w:bCs/>
          <w:i w:val="0"/>
          <w:iCs/>
          <w:sz w:val="32"/>
          <w:szCs w:val="32"/>
          <w:lang w:val="en-US" w:eastAsia="en-US" w:bidi="ar-SA"/>
        </w:rPr>
      </w:pPr>
      <w:r>
        <w:rPr>
          <w:rFonts w:ascii="Times New Roman" w:hAnsi="Times New Roman" w:eastAsia="Calibri" w:cs="Times New Roman"/>
          <w:b w:val="0"/>
          <w:bCs/>
          <w:i w:val="0"/>
          <w:iCs/>
          <w:sz w:val="32"/>
          <w:szCs w:val="32"/>
          <w:lang w:val="en-US" w:eastAsia="en-US" w:bidi="ar-SA"/>
        </w:rPr>
        <w:t>Supplementary Material</w:t>
      </w:r>
      <w:bookmarkStart w:id="0" w:name="_GoBack"/>
      <w:bookmarkEnd w:id="0"/>
    </w:p>
    <w:p w14:paraId="0FEAFC54">
      <w:pPr>
        <w:rPr>
          <w:rFonts w:ascii="Times New Roman" w:hAnsi="Times New Roman" w:cs="Times New Roman"/>
        </w:rPr>
      </w:pPr>
    </w:p>
    <w:p w14:paraId="192A9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S1</w:t>
      </w:r>
      <w:r>
        <w:rPr>
          <w:rFonts w:hint="eastAsia" w:ascii="Times New Roman" w:hAnsi="Times New Roman" w:cs="Times New Roman"/>
        </w:rPr>
        <w:t>. Comparison of longitudinal latent transition models</w:t>
      </w:r>
    </w:p>
    <w:tbl>
      <w:tblPr>
        <w:tblStyle w:val="9"/>
        <w:tblW w:w="1360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3"/>
        <w:gridCol w:w="1650"/>
        <w:gridCol w:w="1245"/>
        <w:gridCol w:w="1320"/>
        <w:gridCol w:w="1252"/>
        <w:gridCol w:w="1335"/>
        <w:gridCol w:w="1335"/>
        <w:gridCol w:w="1545"/>
        <w:gridCol w:w="1080"/>
      </w:tblGrid>
      <w:tr w14:paraId="377795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55C4BEE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Model</w:t>
            </w:r>
          </w:p>
        </w:tc>
        <w:tc>
          <w:tcPr>
            <w:tcW w:w="1650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7A1D95F0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Free parameters</w:t>
            </w:r>
          </w:p>
        </w:tc>
        <w:tc>
          <w:tcPr>
            <w:tcW w:w="124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1401A9D8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LL</w:t>
            </w:r>
          </w:p>
        </w:tc>
        <w:tc>
          <w:tcPr>
            <w:tcW w:w="1320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B258608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AIC</w:t>
            </w:r>
          </w:p>
        </w:tc>
        <w:tc>
          <w:tcPr>
            <w:tcW w:w="1252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6BAB35C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BIC</w:t>
            </w:r>
          </w:p>
        </w:tc>
        <w:tc>
          <w:tcPr>
            <w:tcW w:w="133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E82A3DC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aBIC</w:t>
            </w:r>
          </w:p>
        </w:tc>
        <w:tc>
          <w:tcPr>
            <w:tcW w:w="133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EFD0B74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Entropy</w:t>
            </w:r>
          </w:p>
        </w:tc>
        <w:tc>
          <w:tcPr>
            <w:tcW w:w="1545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D727928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Δχ² (df)</w:t>
            </w:r>
          </w:p>
        </w:tc>
        <w:tc>
          <w:tcPr>
            <w:tcW w:w="1080" w:type="dxa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3EEF809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P</w:t>
            </w:r>
          </w:p>
        </w:tc>
      </w:tr>
      <w:tr w14:paraId="29C388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4AA58264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Unconstrained model</w:t>
            </w:r>
          </w:p>
        </w:tc>
        <w:tc>
          <w:tcPr>
            <w:tcW w:w="1650" w:type="dxa"/>
          </w:tcPr>
          <w:p w14:paraId="15E2CC40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88</w:t>
            </w:r>
          </w:p>
        </w:tc>
        <w:tc>
          <w:tcPr>
            <w:tcW w:w="1245" w:type="dxa"/>
          </w:tcPr>
          <w:p w14:paraId="6A28DB51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-7685.896</w:t>
            </w:r>
          </w:p>
        </w:tc>
        <w:tc>
          <w:tcPr>
            <w:tcW w:w="1320" w:type="dxa"/>
          </w:tcPr>
          <w:p w14:paraId="23E4F7E0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15547.792</w:t>
            </w:r>
          </w:p>
        </w:tc>
        <w:tc>
          <w:tcPr>
            <w:tcW w:w="1252" w:type="dxa"/>
          </w:tcPr>
          <w:p w14:paraId="0C4AF826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15869.211</w:t>
            </w:r>
          </w:p>
        </w:tc>
        <w:tc>
          <w:tcPr>
            <w:tcW w:w="1335" w:type="dxa"/>
          </w:tcPr>
          <w:p w14:paraId="74D51021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15590.158</w:t>
            </w:r>
          </w:p>
        </w:tc>
        <w:tc>
          <w:tcPr>
            <w:tcW w:w="1335" w:type="dxa"/>
          </w:tcPr>
          <w:p w14:paraId="1B5E6A6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0.945</w:t>
            </w:r>
          </w:p>
        </w:tc>
        <w:tc>
          <w:tcPr>
            <w:tcW w:w="1545" w:type="dxa"/>
          </w:tcPr>
          <w:p w14:paraId="7F81290B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—</w:t>
            </w:r>
          </w:p>
        </w:tc>
        <w:tc>
          <w:tcPr>
            <w:tcW w:w="1080" w:type="dxa"/>
          </w:tcPr>
          <w:p w14:paraId="0A33B7E1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—</w:t>
            </w:r>
          </w:p>
        </w:tc>
      </w:tr>
      <w:tr w14:paraId="6AB34E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3" w:type="dxa"/>
          </w:tcPr>
          <w:p w14:paraId="1DB8B832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Measurement-invariant model</w:t>
            </w:r>
          </w:p>
        </w:tc>
        <w:tc>
          <w:tcPr>
            <w:tcW w:w="1650" w:type="dxa"/>
          </w:tcPr>
          <w:p w14:paraId="06586B8C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48</w:t>
            </w:r>
          </w:p>
        </w:tc>
        <w:tc>
          <w:tcPr>
            <w:tcW w:w="1245" w:type="dxa"/>
          </w:tcPr>
          <w:p w14:paraId="63E743B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-7715.245</w:t>
            </w:r>
          </w:p>
        </w:tc>
        <w:tc>
          <w:tcPr>
            <w:tcW w:w="1320" w:type="dxa"/>
          </w:tcPr>
          <w:p w14:paraId="4212F996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15526.489</w:t>
            </w:r>
          </w:p>
        </w:tc>
        <w:tc>
          <w:tcPr>
            <w:tcW w:w="1252" w:type="dxa"/>
          </w:tcPr>
          <w:p w14:paraId="12B56F1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15701.809</w:t>
            </w:r>
          </w:p>
        </w:tc>
        <w:tc>
          <w:tcPr>
            <w:tcW w:w="1335" w:type="dxa"/>
          </w:tcPr>
          <w:p w14:paraId="12ACC9EA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15549.598</w:t>
            </w:r>
          </w:p>
        </w:tc>
        <w:tc>
          <w:tcPr>
            <w:tcW w:w="1335" w:type="dxa"/>
          </w:tcPr>
          <w:p w14:paraId="16AA5CC4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0.937</w:t>
            </w:r>
          </w:p>
        </w:tc>
        <w:tc>
          <w:tcPr>
            <w:tcW w:w="1545" w:type="dxa"/>
          </w:tcPr>
          <w:p w14:paraId="27E318E4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54.613 (40)</w:t>
            </w:r>
          </w:p>
        </w:tc>
        <w:tc>
          <w:tcPr>
            <w:tcW w:w="1080" w:type="dxa"/>
          </w:tcPr>
          <w:p w14:paraId="3DBB63B3">
            <w:pPr>
              <w:adjustRightInd w:val="0"/>
              <w:snapToGrid w:val="0"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  <w:lang w:bidi="ar"/>
              </w:rPr>
              <w:t>0.062</w:t>
            </w:r>
          </w:p>
        </w:tc>
      </w:tr>
    </w:tbl>
    <w:p w14:paraId="2C03D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nested models were compared using the Satorra–Bentler scaled likelihood-ratio difference test under robust maximum likelihood estimation (MLR).</w:t>
      </w:r>
    </w:p>
    <w:p w14:paraId="3FFC808E">
      <w:pPr>
        <w:rPr>
          <w:rFonts w:ascii="Times New Roman" w:hAnsi="Times New Roman" w:cs="Times New Roman"/>
        </w:rPr>
      </w:pPr>
    </w:p>
    <w:p w14:paraId="69C4BDB2">
      <w:pPr>
        <w:rPr>
          <w:rFonts w:ascii="Times New Roman" w:hAnsi="Times New Roman" w:cs="Times New Roman"/>
        </w:rPr>
      </w:pPr>
    </w:p>
    <w:p w14:paraId="535F1FCD">
      <w:pPr>
        <w:rPr>
          <w:rFonts w:ascii="Times New Roman" w:hAnsi="Times New Roman" w:cs="Times New Roman"/>
        </w:rPr>
      </w:pPr>
    </w:p>
    <w:p w14:paraId="4AA3BE9C">
      <w:pPr>
        <w:rPr>
          <w:rFonts w:ascii="Times New Roman" w:hAnsi="Times New Roman" w:cs="Times New Roman"/>
        </w:rPr>
      </w:pPr>
    </w:p>
    <w:p w14:paraId="2550E3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S</w:t>
      </w:r>
      <w:r>
        <w:rPr>
          <w:rFonts w:hint="eastAsia"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. Sensitivity analysis of latent transition probabilities among participants with complete </w:t>
      </w:r>
      <w:r>
        <w:rPr>
          <w:rFonts w:hint="eastAsia" w:ascii="Times New Roman" w:hAnsi="Times New Roman" w:cs="Times New Roman"/>
        </w:rPr>
        <w:t>CES-D-10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data at both waves (n = 248)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6"/>
        <w:gridCol w:w="3112"/>
        <w:gridCol w:w="3203"/>
        <w:gridCol w:w="2595"/>
      </w:tblGrid>
      <w:tr w14:paraId="316F67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7EBF302B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 (2018)</w:t>
            </w:r>
          </w:p>
        </w:tc>
        <w:tc>
          <w:tcPr>
            <w:tcW w:w="8910" w:type="dxa"/>
            <w:gridSpan w:val="3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142FFA7F"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T2 (2020)</w:t>
            </w:r>
          </w:p>
        </w:tc>
      </w:tr>
      <w:tr w14:paraId="37B11B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  <w:vMerge w:val="continue"/>
            <w:tcBorders>
              <w:bottom w:val="single" w:color="auto" w:sz="6" w:space="0"/>
            </w:tcBorders>
          </w:tcPr>
          <w:p w14:paraId="0E181F06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112" w:type="dxa"/>
            <w:tcBorders>
              <w:bottom w:val="single" w:color="auto" w:sz="6" w:space="0"/>
            </w:tcBorders>
          </w:tcPr>
          <w:p w14:paraId="3EA82538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203" w:type="dxa"/>
            <w:tcBorders>
              <w:bottom w:val="single" w:color="auto" w:sz="6" w:space="0"/>
            </w:tcBorders>
          </w:tcPr>
          <w:p w14:paraId="0CA64886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595" w:type="dxa"/>
            <w:tcBorders>
              <w:bottom w:val="single" w:color="auto" w:sz="6" w:space="0"/>
            </w:tcBorders>
          </w:tcPr>
          <w:p w14:paraId="649A0B6C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</w:tr>
      <w:tr w14:paraId="228CBB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  <w:tcBorders>
              <w:top w:val="single" w:color="auto" w:sz="6" w:space="0"/>
            </w:tcBorders>
          </w:tcPr>
          <w:p w14:paraId="68752726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112" w:type="dxa"/>
            <w:tcBorders>
              <w:top w:val="single" w:color="auto" w:sz="6" w:space="0"/>
            </w:tcBorders>
          </w:tcPr>
          <w:p w14:paraId="025DEEAD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789</w:t>
            </w:r>
          </w:p>
        </w:tc>
        <w:tc>
          <w:tcPr>
            <w:tcW w:w="3203" w:type="dxa"/>
            <w:tcBorders>
              <w:top w:val="single" w:color="auto" w:sz="6" w:space="0"/>
            </w:tcBorders>
          </w:tcPr>
          <w:p w14:paraId="337D3796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77</w:t>
            </w:r>
          </w:p>
        </w:tc>
        <w:tc>
          <w:tcPr>
            <w:tcW w:w="2595" w:type="dxa"/>
            <w:tcBorders>
              <w:top w:val="single" w:color="auto" w:sz="6" w:space="0"/>
            </w:tcBorders>
          </w:tcPr>
          <w:p w14:paraId="4A9D1594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0.1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35</w:t>
            </w:r>
          </w:p>
        </w:tc>
      </w:tr>
      <w:tr w14:paraId="285203D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</w:tcPr>
          <w:p w14:paraId="718695EB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112" w:type="dxa"/>
          </w:tcPr>
          <w:p w14:paraId="35161966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79</w:t>
            </w:r>
          </w:p>
        </w:tc>
        <w:tc>
          <w:tcPr>
            <w:tcW w:w="3203" w:type="dxa"/>
          </w:tcPr>
          <w:p w14:paraId="00702B00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491</w:t>
            </w:r>
          </w:p>
        </w:tc>
        <w:tc>
          <w:tcPr>
            <w:tcW w:w="2595" w:type="dxa"/>
          </w:tcPr>
          <w:p w14:paraId="4AAD0DD9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30</w:t>
            </w:r>
          </w:p>
        </w:tc>
      </w:tr>
      <w:tr w14:paraId="1455FD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6" w:type="dxa"/>
          </w:tcPr>
          <w:p w14:paraId="6DEC37BC"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112" w:type="dxa"/>
          </w:tcPr>
          <w:p w14:paraId="515D9BCB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250</w:t>
            </w:r>
          </w:p>
        </w:tc>
        <w:tc>
          <w:tcPr>
            <w:tcW w:w="3203" w:type="dxa"/>
          </w:tcPr>
          <w:p w14:paraId="229DDD4A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0.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308</w:t>
            </w:r>
          </w:p>
        </w:tc>
        <w:tc>
          <w:tcPr>
            <w:tcW w:w="2595" w:type="dxa"/>
          </w:tcPr>
          <w:p w14:paraId="4647B374">
            <w:pPr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0.4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1"/>
              </w:rPr>
              <w:t>42</w:t>
            </w:r>
          </w:p>
        </w:tc>
      </w:tr>
    </w:tbl>
    <w:p w14:paraId="518E5C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Values are model-estimated latent transition probabilities. Bold values indicate membership in the same latent profile at both time points.</w:t>
      </w:r>
    </w:p>
    <w:p w14:paraId="000826BD">
      <w:pPr>
        <w:rPr>
          <w:rFonts w:ascii="Times New Roman" w:hAnsi="Times New Roman" w:cs="Times New Roman"/>
        </w:rPr>
      </w:pPr>
    </w:p>
    <w:p w14:paraId="64136CD4">
      <w:pPr>
        <w:rPr>
          <w:rFonts w:ascii="Times New Roman" w:hAnsi="Times New Roman" w:cs="Times New Roman"/>
        </w:rPr>
      </w:pPr>
    </w:p>
    <w:p w14:paraId="05BEDFAA">
      <w:pPr>
        <w:rPr>
          <w:rFonts w:ascii="Times New Roman" w:hAnsi="Times New Roman" w:cs="Times New Roman"/>
        </w:rPr>
      </w:pPr>
    </w:p>
    <w:p w14:paraId="20397A5F">
      <w:pPr>
        <w:rPr>
          <w:rFonts w:ascii="Times New Roman" w:hAnsi="Times New Roman" w:cs="Times New Roma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A0E30D7">
      <w:pPr>
        <w:rPr>
          <w:rFonts w:ascii="Times New Roman" w:hAnsi="Times New Roman" w:cs="Times New Roman"/>
        </w:rPr>
      </w:pPr>
    </w:p>
    <w:p w14:paraId="12950C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S</w:t>
      </w: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Factors associated with latent transitions in depressive symptom profiles among patients with cancer: results from the primary and sensitivity analyses.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2970"/>
        <w:gridCol w:w="3009"/>
        <w:gridCol w:w="2325"/>
        <w:gridCol w:w="1050"/>
        <w:gridCol w:w="2062"/>
        <w:gridCol w:w="1028"/>
      </w:tblGrid>
      <w:tr w14:paraId="44488D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73C9E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Covariates</w:t>
            </w:r>
          </w:p>
        </w:tc>
        <w:tc>
          <w:tcPr>
            <w:tcW w:w="2970" w:type="dxa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073492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Latent Status (T1)</w:t>
            </w:r>
          </w:p>
        </w:tc>
        <w:tc>
          <w:tcPr>
            <w:tcW w:w="3009" w:type="dxa"/>
            <w:vMerge w:val="restart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625DAF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Transition outcome (T2)</w:t>
            </w:r>
          </w:p>
        </w:tc>
        <w:tc>
          <w:tcPr>
            <w:tcW w:w="3375" w:type="dxa"/>
            <w:gridSpan w:val="2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396B40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analysis (N=285)</w:t>
            </w:r>
          </w:p>
        </w:tc>
        <w:tc>
          <w:tcPr>
            <w:tcW w:w="3090" w:type="dxa"/>
            <w:gridSpan w:val="2"/>
            <w:tcBorders>
              <w:top w:val="single" w:color="auto" w:sz="12" w:space="0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40B955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Sensitivity analysis (N=248)</w:t>
            </w:r>
          </w:p>
        </w:tc>
      </w:tr>
      <w:tr w14:paraId="232484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  <w:tcBorders>
              <w:bottom w:val="single" w:color="auto" w:sz="6" w:space="0"/>
            </w:tcBorders>
          </w:tcPr>
          <w:p w14:paraId="5278D1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  <w:tcBorders>
              <w:bottom w:val="single" w:color="auto" w:sz="6" w:space="0"/>
            </w:tcBorders>
          </w:tcPr>
          <w:p w14:paraId="1553A89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Merge w:val="continue"/>
            <w:tcBorders>
              <w:bottom w:val="single" w:color="auto" w:sz="6" w:space="0"/>
            </w:tcBorders>
          </w:tcPr>
          <w:p w14:paraId="4D6E2C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bottom w:val="single" w:color="auto" w:sz="6" w:space="0"/>
            </w:tcBorders>
          </w:tcPr>
          <w:p w14:paraId="545220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050" w:type="dxa"/>
            <w:tcBorders>
              <w:bottom w:val="single" w:color="auto" w:sz="6" w:space="0"/>
            </w:tcBorders>
          </w:tcPr>
          <w:p w14:paraId="6C0B50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062" w:type="dxa"/>
            <w:tcBorders>
              <w:bottom w:val="single" w:color="auto" w:sz="6" w:space="0"/>
            </w:tcBorders>
          </w:tcPr>
          <w:p w14:paraId="30BCDD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028" w:type="dxa"/>
            <w:tcBorders>
              <w:bottom w:val="single" w:color="auto" w:sz="6" w:space="0"/>
            </w:tcBorders>
          </w:tcPr>
          <w:p w14:paraId="0F015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</w:tr>
      <w:tr w14:paraId="2F7D8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  <w:tcBorders>
              <w:top w:val="single" w:color="auto" w:sz="6" w:space="0"/>
            </w:tcBorders>
          </w:tcPr>
          <w:p w14:paraId="3C7110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duration</w:t>
            </w:r>
          </w:p>
        </w:tc>
        <w:tc>
          <w:tcPr>
            <w:tcW w:w="2970" w:type="dxa"/>
            <w:vMerge w:val="restart"/>
            <w:tcBorders>
              <w:top w:val="single" w:color="auto" w:sz="6" w:space="0"/>
            </w:tcBorders>
          </w:tcPr>
          <w:p w14:paraId="11CDAA73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tcBorders>
              <w:top w:val="single" w:color="auto" w:sz="6" w:space="0"/>
            </w:tcBorders>
          </w:tcPr>
          <w:p w14:paraId="554265DE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  <w:tcBorders>
              <w:top w:val="single" w:color="auto" w:sz="6" w:space="0"/>
            </w:tcBorders>
          </w:tcPr>
          <w:p w14:paraId="4B7AA9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  <w:tcBorders>
              <w:top w:val="single" w:color="auto" w:sz="6" w:space="0"/>
            </w:tcBorders>
          </w:tcPr>
          <w:p w14:paraId="1896F8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  <w:tcBorders>
              <w:top w:val="single" w:color="auto" w:sz="6" w:space="0"/>
            </w:tcBorders>
          </w:tcPr>
          <w:p w14:paraId="269CD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  <w:tcBorders>
              <w:top w:val="single" w:color="auto" w:sz="6" w:space="0"/>
            </w:tcBorders>
          </w:tcPr>
          <w:p w14:paraId="463597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2DA621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49532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4602F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</w:tcPr>
          <w:p w14:paraId="00BCE7B4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34C94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0.800 (0.574–1.115)</w:t>
            </w:r>
          </w:p>
        </w:tc>
        <w:tc>
          <w:tcPr>
            <w:tcW w:w="1050" w:type="dxa"/>
          </w:tcPr>
          <w:p w14:paraId="7186D1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0.188</w:t>
            </w:r>
          </w:p>
        </w:tc>
        <w:tc>
          <w:tcPr>
            <w:tcW w:w="2062" w:type="dxa"/>
          </w:tcPr>
          <w:p w14:paraId="444D0A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0.841 (0.595–1.188)</w:t>
            </w:r>
          </w:p>
        </w:tc>
        <w:tc>
          <w:tcPr>
            <w:tcW w:w="1028" w:type="dxa"/>
          </w:tcPr>
          <w:p w14:paraId="364AB3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0.325</w:t>
            </w:r>
          </w:p>
        </w:tc>
      </w:tr>
      <w:tr w14:paraId="728B58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DF14D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83260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</w:tcPr>
          <w:p w14:paraId="42D30471">
            <w:pPr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75D21D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0.777 (0.514–1.174)</w:t>
            </w:r>
          </w:p>
        </w:tc>
        <w:tc>
          <w:tcPr>
            <w:tcW w:w="1050" w:type="dxa"/>
          </w:tcPr>
          <w:p w14:paraId="093FE8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0.231</w:t>
            </w:r>
          </w:p>
        </w:tc>
        <w:tc>
          <w:tcPr>
            <w:tcW w:w="2062" w:type="dxa"/>
          </w:tcPr>
          <w:p w14:paraId="455E47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0.744 (0.466–1.187)</w:t>
            </w:r>
          </w:p>
        </w:tc>
        <w:tc>
          <w:tcPr>
            <w:tcW w:w="1028" w:type="dxa"/>
          </w:tcPr>
          <w:p w14:paraId="60CA43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0.214</w:t>
            </w:r>
          </w:p>
        </w:tc>
      </w:tr>
      <w:tr w14:paraId="09C5B7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6528B3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 severity</w:t>
            </w:r>
          </w:p>
        </w:tc>
        <w:tc>
          <w:tcPr>
            <w:tcW w:w="2970" w:type="dxa"/>
            <w:vMerge w:val="restart"/>
          </w:tcPr>
          <w:p w14:paraId="1602C71A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6E96ED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F0663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455B8F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06973E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4F86BF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007E34C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776AF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3AEA07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30A9DA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08C186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1.481 (1.017–2.157)</w:t>
            </w:r>
          </w:p>
        </w:tc>
        <w:tc>
          <w:tcPr>
            <w:tcW w:w="1050" w:type="dxa"/>
          </w:tcPr>
          <w:p w14:paraId="0CB888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</w:t>
            </w: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  <w:tc>
          <w:tcPr>
            <w:tcW w:w="2062" w:type="dxa"/>
          </w:tcPr>
          <w:p w14:paraId="44064F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1.604 (1.068–2.408)</w:t>
            </w:r>
          </w:p>
        </w:tc>
        <w:tc>
          <w:tcPr>
            <w:tcW w:w="1028" w:type="dxa"/>
          </w:tcPr>
          <w:p w14:paraId="442AB0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0.023</w:t>
            </w: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</w:tr>
      <w:tr w14:paraId="1144F3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3EDE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364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5EDC4D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ACBD1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1.591 (1.003–2.522)</w:t>
            </w:r>
          </w:p>
        </w:tc>
        <w:tc>
          <w:tcPr>
            <w:tcW w:w="1050" w:type="dxa"/>
          </w:tcPr>
          <w:p w14:paraId="2A3DA4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0.048</w:t>
            </w: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  <w:tc>
          <w:tcPr>
            <w:tcW w:w="2062" w:type="dxa"/>
          </w:tcPr>
          <w:p w14:paraId="60E595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1.537 (0.916–2.579)</w:t>
            </w:r>
          </w:p>
        </w:tc>
        <w:tc>
          <w:tcPr>
            <w:tcW w:w="1028" w:type="dxa"/>
          </w:tcPr>
          <w:p w14:paraId="218DE3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0.104</w:t>
            </w:r>
          </w:p>
        </w:tc>
      </w:tr>
      <w:tr w14:paraId="6DFAFA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07CF3F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participation</w:t>
            </w:r>
          </w:p>
        </w:tc>
        <w:tc>
          <w:tcPr>
            <w:tcW w:w="2970" w:type="dxa"/>
            <w:vMerge w:val="restart"/>
          </w:tcPr>
          <w:p w14:paraId="2B117A8A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33F72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7F13E5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1469B8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39DF7D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5BF61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46FE44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1D0A40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71CAE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05DDC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18677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0.455 (0.173–1.202)</w:t>
            </w:r>
          </w:p>
        </w:tc>
        <w:tc>
          <w:tcPr>
            <w:tcW w:w="1050" w:type="dxa"/>
          </w:tcPr>
          <w:p w14:paraId="7377F0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0.112</w:t>
            </w:r>
          </w:p>
        </w:tc>
        <w:tc>
          <w:tcPr>
            <w:tcW w:w="2062" w:type="dxa"/>
          </w:tcPr>
          <w:p w14:paraId="665247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0.584 (0.212–1.607)</w:t>
            </w:r>
          </w:p>
        </w:tc>
        <w:tc>
          <w:tcPr>
            <w:tcW w:w="1028" w:type="dxa"/>
          </w:tcPr>
          <w:p w14:paraId="336A8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0.298</w:t>
            </w:r>
          </w:p>
        </w:tc>
      </w:tr>
      <w:tr w14:paraId="41E885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6F4F050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3CD80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651CCB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C887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1.436 (0.397–5.185)</w:t>
            </w:r>
          </w:p>
        </w:tc>
        <w:tc>
          <w:tcPr>
            <w:tcW w:w="1050" w:type="dxa"/>
          </w:tcPr>
          <w:p w14:paraId="02EC7B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0.581</w:t>
            </w:r>
          </w:p>
        </w:tc>
        <w:tc>
          <w:tcPr>
            <w:tcW w:w="2062" w:type="dxa"/>
          </w:tcPr>
          <w:p w14:paraId="22A06D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1.314 (0.303–5.706)</w:t>
            </w:r>
          </w:p>
        </w:tc>
        <w:tc>
          <w:tcPr>
            <w:tcW w:w="1028" w:type="dxa"/>
          </w:tcPr>
          <w:p w14:paraId="244828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0.715</w:t>
            </w:r>
          </w:p>
        </w:tc>
      </w:tr>
      <w:tr w14:paraId="59D7D9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39E35F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 satisfaction</w:t>
            </w:r>
          </w:p>
        </w:tc>
        <w:tc>
          <w:tcPr>
            <w:tcW w:w="2970" w:type="dxa"/>
            <w:vMerge w:val="restart"/>
          </w:tcPr>
          <w:p w14:paraId="53E63101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7EA4F6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31E0FA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2177F3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026501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7EC862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088CD5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488497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33875E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6BBFB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01A3C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0.837 (0.428–1.635)</w:t>
            </w:r>
          </w:p>
        </w:tc>
        <w:tc>
          <w:tcPr>
            <w:tcW w:w="1050" w:type="dxa"/>
          </w:tcPr>
          <w:p w14:paraId="0BAF54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0.602</w:t>
            </w:r>
          </w:p>
        </w:tc>
        <w:tc>
          <w:tcPr>
            <w:tcW w:w="2062" w:type="dxa"/>
          </w:tcPr>
          <w:p w14:paraId="11A70D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0.656 (0.329–1.307)</w:t>
            </w:r>
          </w:p>
        </w:tc>
        <w:tc>
          <w:tcPr>
            <w:tcW w:w="1028" w:type="dxa"/>
          </w:tcPr>
          <w:p w14:paraId="60D773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0.230</w:t>
            </w:r>
          </w:p>
        </w:tc>
      </w:tr>
      <w:tr w14:paraId="429B20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0D967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2D7A5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50A5A3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0C8806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0.722 (0.322–1.619)</w:t>
            </w:r>
          </w:p>
        </w:tc>
        <w:tc>
          <w:tcPr>
            <w:tcW w:w="1050" w:type="dxa"/>
          </w:tcPr>
          <w:p w14:paraId="7267A7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0.430</w:t>
            </w:r>
          </w:p>
        </w:tc>
        <w:tc>
          <w:tcPr>
            <w:tcW w:w="2062" w:type="dxa"/>
          </w:tcPr>
          <w:p w14:paraId="4C384F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1.014 (0.409–2.514)</w:t>
            </w:r>
          </w:p>
        </w:tc>
        <w:tc>
          <w:tcPr>
            <w:tcW w:w="1028" w:type="dxa"/>
          </w:tcPr>
          <w:p w14:paraId="5D89C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0.976</w:t>
            </w:r>
          </w:p>
        </w:tc>
      </w:tr>
      <w:tr w14:paraId="71094C3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3E4BDA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duration</w:t>
            </w:r>
          </w:p>
        </w:tc>
        <w:tc>
          <w:tcPr>
            <w:tcW w:w="2970" w:type="dxa"/>
            <w:vMerge w:val="restart"/>
          </w:tcPr>
          <w:p w14:paraId="29F62AEB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1770D4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12E2F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0.809 (0.551–1.186)</w:t>
            </w:r>
          </w:p>
        </w:tc>
        <w:tc>
          <w:tcPr>
            <w:tcW w:w="1050" w:type="dxa"/>
          </w:tcPr>
          <w:p w14:paraId="2E0910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0.277</w:t>
            </w:r>
          </w:p>
        </w:tc>
        <w:tc>
          <w:tcPr>
            <w:tcW w:w="2062" w:type="dxa"/>
          </w:tcPr>
          <w:p w14:paraId="7B364E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0.845 (0.569–1.256)</w:t>
            </w:r>
          </w:p>
        </w:tc>
        <w:tc>
          <w:tcPr>
            <w:tcW w:w="1028" w:type="dxa"/>
          </w:tcPr>
          <w:p w14:paraId="6FDE5A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0.405</w:t>
            </w:r>
          </w:p>
        </w:tc>
      </w:tr>
      <w:tr w14:paraId="384F09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722281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5B6FA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4D68C6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0C42CB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625C10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63FCED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4A771C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1F9ADD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417F820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E1E8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1D0E05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15DCE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0.870 (0.602–1.258)</w:t>
            </w:r>
          </w:p>
        </w:tc>
        <w:tc>
          <w:tcPr>
            <w:tcW w:w="1050" w:type="dxa"/>
          </w:tcPr>
          <w:p w14:paraId="477A37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0.461</w:t>
            </w:r>
          </w:p>
        </w:tc>
        <w:tc>
          <w:tcPr>
            <w:tcW w:w="2062" w:type="dxa"/>
          </w:tcPr>
          <w:p w14:paraId="552089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0.852 (0.582–1.247)</w:t>
            </w:r>
          </w:p>
        </w:tc>
        <w:tc>
          <w:tcPr>
            <w:tcW w:w="1028" w:type="dxa"/>
          </w:tcPr>
          <w:p w14:paraId="707F39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0.409</w:t>
            </w:r>
          </w:p>
        </w:tc>
      </w:tr>
      <w:tr w14:paraId="1440F1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121589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 severity</w:t>
            </w:r>
          </w:p>
        </w:tc>
        <w:tc>
          <w:tcPr>
            <w:tcW w:w="2970" w:type="dxa"/>
            <w:vMerge w:val="restart"/>
          </w:tcPr>
          <w:p w14:paraId="0E79D346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437D1E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5C5249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0.965 (0.592–1.573)</w:t>
            </w:r>
          </w:p>
        </w:tc>
        <w:tc>
          <w:tcPr>
            <w:tcW w:w="1050" w:type="dxa"/>
          </w:tcPr>
          <w:p w14:paraId="384119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0.887</w:t>
            </w:r>
          </w:p>
        </w:tc>
        <w:tc>
          <w:tcPr>
            <w:tcW w:w="2062" w:type="dxa"/>
          </w:tcPr>
          <w:p w14:paraId="2DA4B9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1.032 (0.610–1.747)</w:t>
            </w:r>
          </w:p>
        </w:tc>
        <w:tc>
          <w:tcPr>
            <w:tcW w:w="1028" w:type="dxa"/>
          </w:tcPr>
          <w:p w14:paraId="623712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0.907</w:t>
            </w:r>
          </w:p>
        </w:tc>
      </w:tr>
      <w:tr w14:paraId="4EDDC8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3E07E0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151E3B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540DC1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32C58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5A61F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08F4FE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4F334C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34E1BE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A73E57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D910E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76DBF6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06BC21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0.762 (0.467–1.242)</w:t>
            </w:r>
          </w:p>
        </w:tc>
        <w:tc>
          <w:tcPr>
            <w:tcW w:w="1050" w:type="dxa"/>
          </w:tcPr>
          <w:p w14:paraId="5713C0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0.276</w:t>
            </w:r>
          </w:p>
        </w:tc>
        <w:tc>
          <w:tcPr>
            <w:tcW w:w="2062" w:type="dxa"/>
          </w:tcPr>
          <w:p w14:paraId="5F72D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0.706 (0.407–1.227)</w:t>
            </w:r>
          </w:p>
        </w:tc>
        <w:tc>
          <w:tcPr>
            <w:tcW w:w="1028" w:type="dxa"/>
          </w:tcPr>
          <w:p w14:paraId="35251E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0.217</w:t>
            </w:r>
          </w:p>
        </w:tc>
      </w:tr>
      <w:tr w14:paraId="38480D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37ED36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participation</w:t>
            </w:r>
          </w:p>
        </w:tc>
        <w:tc>
          <w:tcPr>
            <w:tcW w:w="2970" w:type="dxa"/>
            <w:vMerge w:val="restart"/>
          </w:tcPr>
          <w:p w14:paraId="31EEC3D9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37328B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711D3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0.548 (0.148–2.030)</w:t>
            </w:r>
          </w:p>
        </w:tc>
        <w:tc>
          <w:tcPr>
            <w:tcW w:w="1050" w:type="dxa"/>
          </w:tcPr>
          <w:p w14:paraId="08ED86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0.368</w:t>
            </w:r>
          </w:p>
        </w:tc>
        <w:tc>
          <w:tcPr>
            <w:tcW w:w="2062" w:type="dxa"/>
          </w:tcPr>
          <w:p w14:paraId="5C1AC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0.681 (0.173–2.688)</w:t>
            </w:r>
          </w:p>
        </w:tc>
        <w:tc>
          <w:tcPr>
            <w:tcW w:w="1028" w:type="dxa"/>
          </w:tcPr>
          <w:p w14:paraId="3E3793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0.584</w:t>
            </w:r>
          </w:p>
        </w:tc>
      </w:tr>
      <w:tr w14:paraId="3B7D7F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47D147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24EFBB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185F04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27C71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360479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79AB1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06E2BD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43D8536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7EA065B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389889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655FE3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7ECE4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0.908 (0.255–3.230)</w:t>
            </w:r>
          </w:p>
        </w:tc>
        <w:tc>
          <w:tcPr>
            <w:tcW w:w="1050" w:type="dxa"/>
          </w:tcPr>
          <w:p w14:paraId="670246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0.881</w:t>
            </w:r>
          </w:p>
        </w:tc>
        <w:tc>
          <w:tcPr>
            <w:tcW w:w="2062" w:type="dxa"/>
          </w:tcPr>
          <w:p w14:paraId="2B5E3C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0.839 (0.223–3.163)</w:t>
            </w:r>
          </w:p>
        </w:tc>
        <w:tc>
          <w:tcPr>
            <w:tcW w:w="1028" w:type="dxa"/>
          </w:tcPr>
          <w:p w14:paraId="2917C4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0.796</w:t>
            </w:r>
          </w:p>
        </w:tc>
      </w:tr>
      <w:tr w14:paraId="3B2295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tcBorders>
              <w:bottom w:val="nil"/>
            </w:tcBorders>
          </w:tcPr>
          <w:p w14:paraId="28E7F8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Covariates</w:t>
            </w:r>
          </w:p>
        </w:tc>
        <w:tc>
          <w:tcPr>
            <w:tcW w:w="2970" w:type="dxa"/>
            <w:tcBorders>
              <w:bottom w:val="nil"/>
            </w:tcBorders>
          </w:tcPr>
          <w:p w14:paraId="662C0C83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Latent Status (T1)</w:t>
            </w:r>
          </w:p>
        </w:tc>
        <w:tc>
          <w:tcPr>
            <w:tcW w:w="3009" w:type="dxa"/>
            <w:tcBorders>
              <w:bottom w:val="nil"/>
            </w:tcBorders>
          </w:tcPr>
          <w:p w14:paraId="42E8E6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Transition outcome (T2)</w:t>
            </w:r>
          </w:p>
        </w:tc>
        <w:tc>
          <w:tcPr>
            <w:tcW w:w="3375" w:type="dxa"/>
            <w:gridSpan w:val="2"/>
            <w:tcBorders>
              <w:bottom w:val="single" w:color="auto" w:sz="6" w:space="0"/>
            </w:tcBorders>
          </w:tcPr>
          <w:p w14:paraId="02F364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Primary analysis (N=285)</w:t>
            </w:r>
          </w:p>
        </w:tc>
        <w:tc>
          <w:tcPr>
            <w:tcW w:w="3090" w:type="dxa"/>
            <w:gridSpan w:val="2"/>
            <w:tcBorders>
              <w:bottom w:val="single" w:color="auto" w:sz="6" w:space="0"/>
            </w:tcBorders>
          </w:tcPr>
          <w:p w14:paraId="7DA4EC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Sensitivity analysis (N=248)</w:t>
            </w:r>
          </w:p>
        </w:tc>
      </w:tr>
      <w:tr w14:paraId="5C089A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tcBorders>
              <w:top w:val="nil"/>
              <w:bottom w:val="single" w:color="auto" w:sz="6" w:space="0"/>
            </w:tcBorders>
          </w:tcPr>
          <w:p w14:paraId="256F30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nil"/>
              <w:bottom w:val="single" w:color="auto" w:sz="6" w:space="0"/>
            </w:tcBorders>
          </w:tcPr>
          <w:p w14:paraId="35B18278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</w:p>
        </w:tc>
        <w:tc>
          <w:tcPr>
            <w:tcW w:w="3009" w:type="dxa"/>
            <w:tcBorders>
              <w:top w:val="nil"/>
              <w:bottom w:val="single" w:color="auto" w:sz="6" w:space="0"/>
            </w:tcBorders>
          </w:tcPr>
          <w:p w14:paraId="75E711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color="auto" w:sz="6" w:space="0"/>
              <w:bottom w:val="single" w:color="auto" w:sz="6" w:space="0"/>
            </w:tcBorders>
          </w:tcPr>
          <w:p w14:paraId="3C9E2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050" w:type="dxa"/>
            <w:tcBorders>
              <w:top w:val="single" w:color="auto" w:sz="6" w:space="0"/>
              <w:bottom w:val="single" w:color="auto" w:sz="6" w:space="0"/>
            </w:tcBorders>
          </w:tcPr>
          <w:p w14:paraId="19B606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2062" w:type="dxa"/>
            <w:tcBorders>
              <w:top w:val="single" w:color="auto" w:sz="6" w:space="0"/>
              <w:bottom w:val="single" w:color="auto" w:sz="6" w:space="0"/>
            </w:tcBorders>
          </w:tcPr>
          <w:p w14:paraId="772DA6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 (95% CI)</w:t>
            </w:r>
          </w:p>
        </w:tc>
        <w:tc>
          <w:tcPr>
            <w:tcW w:w="1028" w:type="dxa"/>
            <w:tcBorders>
              <w:top w:val="single" w:color="auto" w:sz="6" w:space="0"/>
              <w:bottom w:val="single" w:color="auto" w:sz="6" w:space="0"/>
            </w:tcBorders>
          </w:tcPr>
          <w:p w14:paraId="2D66CE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</w:p>
        </w:tc>
      </w:tr>
      <w:tr w14:paraId="04C782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  <w:tcBorders>
              <w:top w:val="single" w:color="auto" w:sz="6" w:space="0"/>
            </w:tcBorders>
          </w:tcPr>
          <w:p w14:paraId="059296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 satisfaction</w:t>
            </w:r>
          </w:p>
        </w:tc>
        <w:tc>
          <w:tcPr>
            <w:tcW w:w="2970" w:type="dxa"/>
            <w:vMerge w:val="restart"/>
            <w:tcBorders>
              <w:top w:val="single" w:color="auto" w:sz="6" w:space="0"/>
            </w:tcBorders>
          </w:tcPr>
          <w:p w14:paraId="4D682144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tcBorders>
              <w:top w:val="single" w:color="auto" w:sz="6" w:space="0"/>
            </w:tcBorders>
            <w:vAlign w:val="top"/>
          </w:tcPr>
          <w:p w14:paraId="5DA54F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  <w:tcBorders>
              <w:top w:val="single" w:color="auto" w:sz="6" w:space="0"/>
            </w:tcBorders>
          </w:tcPr>
          <w:p w14:paraId="0EFB2E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1.106 (0.469–2.611)</w:t>
            </w:r>
          </w:p>
        </w:tc>
        <w:tc>
          <w:tcPr>
            <w:tcW w:w="1050" w:type="dxa"/>
            <w:tcBorders>
              <w:top w:val="single" w:color="auto" w:sz="6" w:space="0"/>
            </w:tcBorders>
          </w:tcPr>
          <w:p w14:paraId="36928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0.818</w:t>
            </w:r>
          </w:p>
        </w:tc>
        <w:tc>
          <w:tcPr>
            <w:tcW w:w="2062" w:type="dxa"/>
            <w:tcBorders>
              <w:top w:val="single" w:color="auto" w:sz="6" w:space="0"/>
            </w:tcBorders>
          </w:tcPr>
          <w:p w14:paraId="4518BE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1.248 (0.507–3.074)</w:t>
            </w:r>
          </w:p>
        </w:tc>
        <w:tc>
          <w:tcPr>
            <w:tcW w:w="1028" w:type="dxa"/>
            <w:tcBorders>
              <w:top w:val="single" w:color="auto" w:sz="6" w:space="0"/>
            </w:tcBorders>
          </w:tcPr>
          <w:p w14:paraId="3093FB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0.629</w:t>
            </w:r>
          </w:p>
        </w:tc>
      </w:tr>
      <w:tr w14:paraId="6C55E9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0147B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63E7D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2A9790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8C38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48C71E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74445B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646C28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3581B8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1F015E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1AF2D8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696948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336C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0.470 (0.205–1.082)</w:t>
            </w:r>
          </w:p>
        </w:tc>
        <w:tc>
          <w:tcPr>
            <w:tcW w:w="1050" w:type="dxa"/>
          </w:tcPr>
          <w:p w14:paraId="0E77D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0.076</w:t>
            </w:r>
          </w:p>
        </w:tc>
        <w:tc>
          <w:tcPr>
            <w:tcW w:w="2062" w:type="dxa"/>
          </w:tcPr>
          <w:p w14:paraId="72DCC8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0.444 (0.186–1.060)</w:t>
            </w:r>
          </w:p>
        </w:tc>
        <w:tc>
          <w:tcPr>
            <w:tcW w:w="1028" w:type="dxa"/>
          </w:tcPr>
          <w:p w14:paraId="45D79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0.067</w:t>
            </w:r>
          </w:p>
        </w:tc>
      </w:tr>
      <w:tr w14:paraId="3B826E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12DDAD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Sleep duration</w:t>
            </w:r>
          </w:p>
        </w:tc>
        <w:tc>
          <w:tcPr>
            <w:tcW w:w="2970" w:type="dxa"/>
            <w:vMerge w:val="restart"/>
          </w:tcPr>
          <w:p w14:paraId="5553C7BB">
            <w:pPr>
              <w:jc w:val="center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6A47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18A5D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1.171 (0.811–1.691)</w:t>
            </w:r>
          </w:p>
        </w:tc>
        <w:tc>
          <w:tcPr>
            <w:tcW w:w="1050" w:type="dxa"/>
          </w:tcPr>
          <w:p w14:paraId="7425C4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0.401</w:t>
            </w:r>
          </w:p>
        </w:tc>
        <w:tc>
          <w:tcPr>
            <w:tcW w:w="2062" w:type="dxa"/>
          </w:tcPr>
          <w:p w14:paraId="69F1B9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0.990 (0.674–1.453)</w:t>
            </w:r>
          </w:p>
        </w:tc>
        <w:tc>
          <w:tcPr>
            <w:tcW w:w="1028" w:type="dxa"/>
          </w:tcPr>
          <w:p w14:paraId="208316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0.958</w:t>
            </w:r>
          </w:p>
        </w:tc>
      </w:tr>
      <w:tr w14:paraId="48654D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36B75C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9FF26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2D7A12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5E2CB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0.928 (0.671–1.284)</w:t>
            </w:r>
          </w:p>
        </w:tc>
        <w:tc>
          <w:tcPr>
            <w:tcW w:w="1050" w:type="dxa"/>
          </w:tcPr>
          <w:p w14:paraId="020875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0.654</w:t>
            </w:r>
          </w:p>
        </w:tc>
        <w:tc>
          <w:tcPr>
            <w:tcW w:w="2062" w:type="dxa"/>
          </w:tcPr>
          <w:p w14:paraId="01201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0.776 (0.529–1.138)</w:t>
            </w:r>
          </w:p>
        </w:tc>
        <w:tc>
          <w:tcPr>
            <w:tcW w:w="1028" w:type="dxa"/>
          </w:tcPr>
          <w:p w14:paraId="65C7B0C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0.194</w:t>
            </w:r>
          </w:p>
        </w:tc>
      </w:tr>
      <w:tr w14:paraId="68CCA1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262F1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7F4845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7CFDD6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33BD9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7A089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47D675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74E2CD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57E876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434EAE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 severity</w:t>
            </w:r>
          </w:p>
        </w:tc>
        <w:tc>
          <w:tcPr>
            <w:tcW w:w="2970" w:type="dxa"/>
            <w:vMerge w:val="restart"/>
          </w:tcPr>
          <w:p w14:paraId="156010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1869CF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302C94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0.431 (0.243–0.763)</w:t>
            </w:r>
          </w:p>
        </w:tc>
        <w:tc>
          <w:tcPr>
            <w:tcW w:w="1050" w:type="dxa"/>
          </w:tcPr>
          <w:p w14:paraId="3FE8A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</w:t>
            </w: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  <w:tc>
          <w:tcPr>
            <w:tcW w:w="2062" w:type="dxa"/>
          </w:tcPr>
          <w:p w14:paraId="6FFEC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0.412 (0.213–0.799)</w:t>
            </w:r>
          </w:p>
        </w:tc>
        <w:tc>
          <w:tcPr>
            <w:tcW w:w="1028" w:type="dxa"/>
          </w:tcPr>
          <w:p w14:paraId="216E9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  <w:r>
              <w:rPr>
                <w:rFonts w:ascii="Times New Roman" w:hAnsi="Times New Roman" w:eastAsia="宋体" w:cs="Times New Roman"/>
                <w:szCs w:val="21"/>
              </w:rPr>
              <w:t>*</w:t>
            </w:r>
          </w:p>
        </w:tc>
      </w:tr>
      <w:tr w14:paraId="30CD14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58B733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3BD675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74C0D1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490B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0.785 (0.470–1.309)</w:t>
            </w:r>
          </w:p>
        </w:tc>
        <w:tc>
          <w:tcPr>
            <w:tcW w:w="1050" w:type="dxa"/>
          </w:tcPr>
          <w:p w14:paraId="1C87FD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0.353</w:t>
            </w:r>
          </w:p>
        </w:tc>
        <w:tc>
          <w:tcPr>
            <w:tcW w:w="2062" w:type="dxa"/>
          </w:tcPr>
          <w:p w14:paraId="7A2C89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0.766 (0.410–1.430)</w:t>
            </w:r>
          </w:p>
        </w:tc>
        <w:tc>
          <w:tcPr>
            <w:tcW w:w="1028" w:type="dxa"/>
          </w:tcPr>
          <w:p w14:paraId="1B507D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0.402</w:t>
            </w:r>
          </w:p>
        </w:tc>
      </w:tr>
      <w:tr w14:paraId="2F9BC6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08AA8DC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1E9CF61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6110B3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22A2B4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70B3DD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2610B6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09044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648950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77435D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participation</w:t>
            </w:r>
          </w:p>
        </w:tc>
        <w:tc>
          <w:tcPr>
            <w:tcW w:w="2970" w:type="dxa"/>
            <w:vMerge w:val="restart"/>
          </w:tcPr>
          <w:p w14:paraId="0AC242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3D834C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B6296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0.425 (0.097–1.870)</w:t>
            </w:r>
          </w:p>
        </w:tc>
        <w:tc>
          <w:tcPr>
            <w:tcW w:w="1050" w:type="dxa"/>
          </w:tcPr>
          <w:p w14:paraId="3921A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0.258</w:t>
            </w:r>
          </w:p>
        </w:tc>
        <w:tc>
          <w:tcPr>
            <w:tcW w:w="2062" w:type="dxa"/>
          </w:tcPr>
          <w:p w14:paraId="34B3EC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0.401 (0.086–1.865)</w:t>
            </w:r>
          </w:p>
        </w:tc>
        <w:tc>
          <w:tcPr>
            <w:tcW w:w="1028" w:type="dxa"/>
          </w:tcPr>
          <w:p w14:paraId="56483D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0.244</w:t>
            </w:r>
          </w:p>
        </w:tc>
      </w:tr>
      <w:tr w14:paraId="3BEB64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1D7855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09B63E5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3AE625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0B293D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0.944 (0.268–3.328)</w:t>
            </w:r>
          </w:p>
        </w:tc>
        <w:tc>
          <w:tcPr>
            <w:tcW w:w="1050" w:type="dxa"/>
          </w:tcPr>
          <w:p w14:paraId="25381E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0.929</w:t>
            </w:r>
          </w:p>
        </w:tc>
        <w:tc>
          <w:tcPr>
            <w:tcW w:w="2062" w:type="dxa"/>
          </w:tcPr>
          <w:p w14:paraId="712708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1.365 (0.297–6.281)</w:t>
            </w:r>
          </w:p>
        </w:tc>
        <w:tc>
          <w:tcPr>
            <w:tcW w:w="1028" w:type="dxa"/>
          </w:tcPr>
          <w:p w14:paraId="1E689E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0.689</w:t>
            </w:r>
          </w:p>
        </w:tc>
      </w:tr>
      <w:tr w14:paraId="1A82FD3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488447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6BC7C9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1A157E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6C5400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7E7947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4DBA3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1ABAD3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  <w:tr w14:paraId="2A9AEA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restart"/>
          </w:tcPr>
          <w:p w14:paraId="7C56C3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 satisfaction</w:t>
            </w:r>
          </w:p>
        </w:tc>
        <w:tc>
          <w:tcPr>
            <w:tcW w:w="2970" w:type="dxa"/>
            <w:vMerge w:val="restart"/>
          </w:tcPr>
          <w:p w14:paraId="45DF51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3009" w:type="dxa"/>
            <w:vAlign w:val="top"/>
          </w:tcPr>
          <w:p w14:paraId="036360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Low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28569F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1.377 (0.572–3.315)</w:t>
            </w:r>
          </w:p>
        </w:tc>
        <w:tc>
          <w:tcPr>
            <w:tcW w:w="1050" w:type="dxa"/>
          </w:tcPr>
          <w:p w14:paraId="08572C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0.476</w:t>
            </w:r>
          </w:p>
        </w:tc>
        <w:tc>
          <w:tcPr>
            <w:tcW w:w="2062" w:type="dxa"/>
          </w:tcPr>
          <w:p w14:paraId="38DB9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1.143 (0.406–3.215)</w:t>
            </w:r>
          </w:p>
        </w:tc>
        <w:tc>
          <w:tcPr>
            <w:tcW w:w="1028" w:type="dxa"/>
          </w:tcPr>
          <w:p w14:paraId="2C96A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0.800</w:t>
            </w:r>
          </w:p>
        </w:tc>
      </w:tr>
      <w:tr w14:paraId="61EA1A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0AC34A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429C1D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0FBE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Transitional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1025D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1.193 (0.620–2.297)</w:t>
            </w:r>
          </w:p>
        </w:tc>
        <w:tc>
          <w:tcPr>
            <w:tcW w:w="1050" w:type="dxa"/>
          </w:tcPr>
          <w:p w14:paraId="2A647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0.598</w:t>
            </w:r>
          </w:p>
        </w:tc>
        <w:tc>
          <w:tcPr>
            <w:tcW w:w="2062" w:type="dxa"/>
          </w:tcPr>
          <w:p w14:paraId="1F4DFF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1.543 (0.660–3.608)</w:t>
            </w:r>
          </w:p>
        </w:tc>
        <w:tc>
          <w:tcPr>
            <w:tcW w:w="1028" w:type="dxa"/>
          </w:tcPr>
          <w:p w14:paraId="3C9850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0.317</w:t>
            </w:r>
          </w:p>
        </w:tc>
      </w:tr>
      <w:tr w14:paraId="627EAD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8" w:type="dxa"/>
            <w:vMerge w:val="continue"/>
          </w:tcPr>
          <w:p w14:paraId="35B4D9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Merge w:val="continue"/>
          </w:tcPr>
          <w:p w14:paraId="32A4AE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vAlign w:val="top"/>
          </w:tcPr>
          <w:p w14:paraId="73EBD8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High depressive symptoms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class</w:t>
            </w:r>
          </w:p>
        </w:tc>
        <w:tc>
          <w:tcPr>
            <w:tcW w:w="2325" w:type="dxa"/>
          </w:tcPr>
          <w:p w14:paraId="49C11F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50" w:type="dxa"/>
          </w:tcPr>
          <w:p w14:paraId="424968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062" w:type="dxa"/>
          </w:tcPr>
          <w:p w14:paraId="2798B7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1.000 (Ref.)</w:t>
            </w:r>
          </w:p>
        </w:tc>
        <w:tc>
          <w:tcPr>
            <w:tcW w:w="1028" w:type="dxa"/>
          </w:tcPr>
          <w:p w14:paraId="374270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—</w:t>
            </w:r>
          </w:p>
        </w:tc>
      </w:tr>
    </w:tbl>
    <w:p w14:paraId="56E38C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OR, odds ratio; CI, confidence interval. Participants who remained in the same latent status at follow-up were used as the reference category (OR=1.000).</w:t>
      </w:r>
      <w:r>
        <w:rPr>
          <w:rFonts w:hint="eastAsia" w:ascii="Times New Roman" w:hAnsi="Times New Roman" w:cs="Times New Roman"/>
        </w:rPr>
        <w:t xml:space="preserve"> </w:t>
      </w:r>
    </w:p>
    <w:p w14:paraId="07D08441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*p &lt; 0.05.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40BD9"/>
    <w:rsid w:val="0013502A"/>
    <w:rsid w:val="004E1D01"/>
    <w:rsid w:val="006A7C38"/>
    <w:rsid w:val="006F51E8"/>
    <w:rsid w:val="007265E9"/>
    <w:rsid w:val="00A23432"/>
    <w:rsid w:val="00DD247D"/>
    <w:rsid w:val="00EB7C4B"/>
    <w:rsid w:val="015B6D94"/>
    <w:rsid w:val="01B3097E"/>
    <w:rsid w:val="06E415DA"/>
    <w:rsid w:val="096802A0"/>
    <w:rsid w:val="0A3208AE"/>
    <w:rsid w:val="0FC95811"/>
    <w:rsid w:val="10CF50A9"/>
    <w:rsid w:val="11DD1A47"/>
    <w:rsid w:val="14C173FE"/>
    <w:rsid w:val="189D5A8C"/>
    <w:rsid w:val="19E27BFB"/>
    <w:rsid w:val="1A450189"/>
    <w:rsid w:val="1C80194D"/>
    <w:rsid w:val="1C9F1DD3"/>
    <w:rsid w:val="1CCF7505"/>
    <w:rsid w:val="20847C5E"/>
    <w:rsid w:val="229121BE"/>
    <w:rsid w:val="26793695"/>
    <w:rsid w:val="28240BD9"/>
    <w:rsid w:val="2F8C4439"/>
    <w:rsid w:val="30E12562"/>
    <w:rsid w:val="32892EB1"/>
    <w:rsid w:val="34232E92"/>
    <w:rsid w:val="351153E0"/>
    <w:rsid w:val="364610BA"/>
    <w:rsid w:val="3A1A6AE5"/>
    <w:rsid w:val="3BFD221A"/>
    <w:rsid w:val="3C6F2497"/>
    <w:rsid w:val="3CD94A35"/>
    <w:rsid w:val="3D2954BE"/>
    <w:rsid w:val="3D61263F"/>
    <w:rsid w:val="40BF3F42"/>
    <w:rsid w:val="45EC3A2B"/>
    <w:rsid w:val="492139EC"/>
    <w:rsid w:val="502B6EFE"/>
    <w:rsid w:val="555B2034"/>
    <w:rsid w:val="56186177"/>
    <w:rsid w:val="57D460CD"/>
    <w:rsid w:val="589C6BEB"/>
    <w:rsid w:val="598A113A"/>
    <w:rsid w:val="598D29D8"/>
    <w:rsid w:val="5AA92570"/>
    <w:rsid w:val="5B3A6A8A"/>
    <w:rsid w:val="5B7C4AB2"/>
    <w:rsid w:val="5C1E200D"/>
    <w:rsid w:val="5C5617A7"/>
    <w:rsid w:val="5CAE3391"/>
    <w:rsid w:val="5E251431"/>
    <w:rsid w:val="619568CD"/>
    <w:rsid w:val="61A44D62"/>
    <w:rsid w:val="657333CA"/>
    <w:rsid w:val="66EF6A80"/>
    <w:rsid w:val="6C9D1253"/>
    <w:rsid w:val="6D344621"/>
    <w:rsid w:val="6F143527"/>
    <w:rsid w:val="7148570A"/>
    <w:rsid w:val="736305DA"/>
    <w:rsid w:val="7A1545F8"/>
    <w:rsid w:val="7C6F6241"/>
    <w:rsid w:val="7D4F6073"/>
    <w:rsid w:val="7D9F4904"/>
    <w:rsid w:val="7E0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9">
    <w:name w:val="三线表"/>
    <w:basedOn w:val="4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625</Words>
  <Characters>4083</Characters>
  <Lines>31</Lines>
  <Paragraphs>8</Paragraphs>
  <TotalTime>0</TotalTime>
  <ScaleCrop>false</ScaleCrop>
  <LinksUpToDate>false</LinksUpToDate>
  <CharactersWithSpaces>4435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2026-08-18T12:56:00Z</dcterms:created>
  <dc:creator>    </dc:creator>
  <cp:lastModifiedBy>    </cp:lastModifiedBy>
  <dcterms:modified xsi:type="dcterms:W3CDTF">2026-09-02T07:17:45Z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55B946F6AC0E425697830748B6357C9B_11</vt:lpwstr>
  </property>
  <property fmtid="{D5CDD505-2E9C-101B-9397-08002B2CF9AE}" pid="4" name="KSOTemplateDocerSaveRecord">
    <vt:lpwstr>eyJoZGlkIjoiZGY4ZTBkYmRhMmE5ZjI1NWI4N2EzNDVjOTJkODMyMDYiLCJ1c2VySWQiOiI0ODk0MzIyODgifQ==</vt:lpwstr>
  </property>
</Properties>
</file>