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7EEF0" w14:textId="77777777" w:rsidR="00241BD8" w:rsidRDefault="00241BD8" w:rsidP="00241BD8">
      <w:pPr>
        <w:rPr>
          <w:rFonts w:asciiTheme="majorBidi" w:hAnsiTheme="majorBidi" w:cstheme="majorBidi"/>
          <w:sz w:val="24"/>
          <w:szCs w:val="24"/>
        </w:rPr>
      </w:pPr>
      <w:r w:rsidRPr="00D62B81">
        <w:rPr>
          <w:rFonts w:asciiTheme="majorBidi" w:hAnsiTheme="majorBidi" w:cstheme="majorBidi"/>
          <w:sz w:val="24"/>
          <w:szCs w:val="24"/>
        </w:rPr>
        <w:t>Table 1: Key Water‑Related Features (UN‑Water, 2022)</w:t>
      </w:r>
    </w:p>
    <w:tbl>
      <w:tblPr>
        <w:tblStyle w:val="TableGrid"/>
        <w:tblW w:w="9016" w:type="dxa"/>
        <w:tblInd w:w="-555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241BD8" w14:paraId="17DD2757" w14:textId="77777777" w:rsidTr="00B75E54">
        <w:tc>
          <w:tcPr>
            <w:tcW w:w="4508" w:type="dxa"/>
            <w:vAlign w:val="center"/>
          </w:tcPr>
          <w:p w14:paraId="474661C7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Feature</w:t>
            </w:r>
          </w:p>
        </w:tc>
        <w:tc>
          <w:tcPr>
            <w:tcW w:w="4508" w:type="dxa"/>
            <w:vAlign w:val="center"/>
          </w:tcPr>
          <w:p w14:paraId="7221DB0B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Value</w:t>
            </w:r>
          </w:p>
        </w:tc>
      </w:tr>
      <w:tr w:rsidR="00241BD8" w14:paraId="567EFBDD" w14:textId="77777777" w:rsidTr="00B75E54">
        <w:tc>
          <w:tcPr>
            <w:tcW w:w="4508" w:type="dxa"/>
            <w:vAlign w:val="center"/>
          </w:tcPr>
          <w:p w14:paraId="1A3AEF47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Mean rainfall</w:t>
            </w:r>
          </w:p>
        </w:tc>
        <w:tc>
          <w:tcPr>
            <w:tcW w:w="4508" w:type="dxa"/>
            <w:vAlign w:val="center"/>
          </w:tcPr>
          <w:p w14:paraId="61FA32E2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252 mm/year</w:t>
            </w:r>
          </w:p>
        </w:tc>
      </w:tr>
      <w:tr w:rsidR="00241BD8" w14:paraId="21F35377" w14:textId="77777777" w:rsidTr="00B75E54">
        <w:tc>
          <w:tcPr>
            <w:tcW w:w="4508" w:type="dxa"/>
            <w:vAlign w:val="center"/>
          </w:tcPr>
          <w:p w14:paraId="60913F79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Renewable water resources</w:t>
            </w:r>
          </w:p>
        </w:tc>
        <w:tc>
          <w:tcPr>
            <w:tcW w:w="4508" w:type="dxa"/>
            <w:vAlign w:val="center"/>
          </w:tcPr>
          <w:p w14:paraId="3F3CFE44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16.8 billion m³/year (2020)</w:t>
            </w:r>
          </w:p>
        </w:tc>
      </w:tr>
      <w:tr w:rsidR="00241BD8" w14:paraId="7E0B9E38" w14:textId="77777777" w:rsidTr="00B75E54">
        <w:tc>
          <w:tcPr>
            <w:tcW w:w="4508" w:type="dxa"/>
            <w:vAlign w:val="center"/>
          </w:tcPr>
          <w:p w14:paraId="0ED5D121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Water withdrawals</w:t>
            </w:r>
          </w:p>
        </w:tc>
        <w:tc>
          <w:tcPr>
            <w:tcW w:w="4508" w:type="dxa"/>
            <w:vAlign w:val="center"/>
          </w:tcPr>
          <w:p w14:paraId="3BC48ABF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16.75 billion m³/year (2020)</w:t>
            </w:r>
          </w:p>
        </w:tc>
      </w:tr>
      <w:tr w:rsidR="00241BD8" w14:paraId="0A6CDB97" w14:textId="77777777" w:rsidTr="00B75E54">
        <w:tc>
          <w:tcPr>
            <w:tcW w:w="4508" w:type="dxa"/>
            <w:vAlign w:val="center"/>
          </w:tcPr>
          <w:p w14:paraId="1EC1CC92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Environmental flow</w:t>
            </w:r>
          </w:p>
        </w:tc>
        <w:tc>
          <w:tcPr>
            <w:tcW w:w="4508" w:type="dxa"/>
            <w:vAlign w:val="center"/>
          </w:tcPr>
          <w:p w14:paraId="0BD1CB31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4 billion m³/year (2020)</w:t>
            </w:r>
          </w:p>
        </w:tc>
      </w:tr>
      <w:tr w:rsidR="00241BD8" w14:paraId="0EB605D4" w14:textId="77777777" w:rsidTr="00B75E54">
        <w:tc>
          <w:tcPr>
            <w:tcW w:w="4508" w:type="dxa"/>
            <w:vAlign w:val="center"/>
          </w:tcPr>
          <w:p w14:paraId="0D30D998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Water-use efficiency</w:t>
            </w:r>
          </w:p>
        </w:tc>
        <w:tc>
          <w:tcPr>
            <w:tcW w:w="4508" w:type="dxa"/>
            <w:vAlign w:val="center"/>
          </w:tcPr>
          <w:p w14:paraId="2618565D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2.8 USD / m³ in 2020 (decreasing trend since 2000)</w:t>
            </w:r>
          </w:p>
        </w:tc>
      </w:tr>
      <w:tr w:rsidR="00241BD8" w14:paraId="4F68DCEF" w14:textId="77777777" w:rsidTr="00B75E54">
        <w:tc>
          <w:tcPr>
            <w:tcW w:w="4508" w:type="dxa"/>
            <w:vAlign w:val="center"/>
          </w:tcPr>
          <w:p w14:paraId="780A59E6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Water stress</w:t>
            </w:r>
          </w:p>
        </w:tc>
        <w:tc>
          <w:tcPr>
            <w:tcW w:w="4508" w:type="dxa"/>
            <w:vAlign w:val="center"/>
          </w:tcPr>
          <w:p w14:paraId="4027BC20" w14:textId="77777777" w:rsidR="00241BD8" w:rsidRDefault="00241BD8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2B81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124% (includes environmental flow)</w:t>
            </w:r>
          </w:p>
        </w:tc>
      </w:tr>
    </w:tbl>
    <w:p w14:paraId="700B7225" w14:textId="77777777" w:rsidR="002D6AFB" w:rsidRDefault="002D6AFB"/>
    <w:sectPr w:rsidR="002D6AFB" w:rsidSect="00570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BD8"/>
    <w:rsid w:val="00192FF3"/>
    <w:rsid w:val="00241BD8"/>
    <w:rsid w:val="002D6AFB"/>
    <w:rsid w:val="00570574"/>
    <w:rsid w:val="0073602D"/>
    <w:rsid w:val="00A60248"/>
    <w:rsid w:val="00A9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EC343"/>
  <w15:chartTrackingRefBased/>
  <w15:docId w15:val="{5F51584B-18F4-48C1-AE86-01C28B9B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BD8"/>
    <w:pPr>
      <w:jc w:val="both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1BD8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BD8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BD8"/>
    <w:pPr>
      <w:keepNext/>
      <w:keepLines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BD8"/>
    <w:pPr>
      <w:keepNext/>
      <w:keepLines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BD8"/>
    <w:pPr>
      <w:keepNext/>
      <w:keepLines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BD8"/>
    <w:pPr>
      <w:keepNext/>
      <w:keepLines/>
      <w:spacing w:before="40" w:after="0"/>
      <w:jc w:val="left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BD8"/>
    <w:pPr>
      <w:keepNext/>
      <w:keepLines/>
      <w:spacing w:before="40" w:after="0"/>
      <w:jc w:val="left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BD8"/>
    <w:pPr>
      <w:keepNext/>
      <w:keepLines/>
      <w:spacing w:after="0"/>
      <w:jc w:val="left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BD8"/>
    <w:pPr>
      <w:keepNext/>
      <w:keepLines/>
      <w:spacing w:after="0"/>
      <w:jc w:val="left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B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B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BD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1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BD8"/>
    <w:pPr>
      <w:numPr>
        <w:ilvl w:val="1"/>
      </w:numPr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1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BD8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1B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BD8"/>
    <w:pPr>
      <w:ind w:left="720"/>
      <w:contextualSpacing/>
      <w:jc w:val="left"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1B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B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B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1BD8"/>
    <w:pPr>
      <w:spacing w:after="0" w:line="240" w:lineRule="auto"/>
      <w:jc w:val="both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308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Nadhir Al-Ansari</dc:creator>
  <cp:keywords/>
  <dc:description/>
  <cp:lastModifiedBy>Nadhir Al-Ansari</cp:lastModifiedBy>
  <cp:revision>1</cp:revision>
  <dcterms:created xsi:type="dcterms:W3CDTF">2026-08-14T07:39:00Z</dcterms:created>
  <dcterms:modified xsi:type="dcterms:W3CDTF">2026-08-14T07:39:00Z</dcterms:modified>
</cp:coreProperties>
</file>