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A40FF" w14:textId="77777777" w:rsidR="00C504EC" w:rsidRDefault="00C504EC" w:rsidP="00C504EC">
      <w:pPr>
        <w:rPr>
          <w:rFonts w:asciiTheme="majorBidi" w:hAnsiTheme="majorBidi" w:cstheme="majorBidi"/>
          <w:sz w:val="24"/>
          <w:szCs w:val="24"/>
        </w:rPr>
      </w:pPr>
      <w:r w:rsidRPr="00D62B81">
        <w:rPr>
          <w:rFonts w:asciiTheme="majorBidi" w:hAnsiTheme="majorBidi" w:cstheme="majorBidi"/>
          <w:sz w:val="24"/>
          <w:szCs w:val="24"/>
        </w:rPr>
        <w:t xml:space="preserve">Table </w:t>
      </w:r>
      <w:r>
        <w:rPr>
          <w:rFonts w:asciiTheme="majorBidi" w:hAnsiTheme="majorBidi" w:cstheme="majorBidi"/>
          <w:sz w:val="24"/>
          <w:szCs w:val="24"/>
        </w:rPr>
        <w:t>4</w:t>
      </w:r>
      <w:r w:rsidRPr="00D62B81">
        <w:rPr>
          <w:rFonts w:asciiTheme="majorBidi" w:hAnsiTheme="majorBidi" w:cstheme="majorBidi"/>
          <w:sz w:val="24"/>
          <w:szCs w:val="24"/>
        </w:rPr>
        <w:t>: Actionable Policy Recommendations for Climate‑Resilient WASH in Post‑Conflict Syria</w:t>
      </w:r>
      <w:r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6"/>
        <w:gridCol w:w="2668"/>
        <w:gridCol w:w="2183"/>
        <w:gridCol w:w="2149"/>
      </w:tblGrid>
      <w:tr w:rsidR="00C504EC" w14:paraId="37E09F92" w14:textId="77777777" w:rsidTr="00B75E54">
        <w:tc>
          <w:tcPr>
            <w:tcW w:w="2016" w:type="dxa"/>
            <w:vAlign w:val="center"/>
          </w:tcPr>
          <w:p w14:paraId="233C7B56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Recommendation</w:t>
            </w:r>
          </w:p>
        </w:tc>
        <w:tc>
          <w:tcPr>
            <w:tcW w:w="2668" w:type="dxa"/>
            <w:vAlign w:val="center"/>
          </w:tcPr>
          <w:p w14:paraId="62546017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Specific Action</w:t>
            </w:r>
          </w:p>
        </w:tc>
        <w:tc>
          <w:tcPr>
            <w:tcW w:w="2183" w:type="dxa"/>
            <w:vAlign w:val="center"/>
          </w:tcPr>
          <w:p w14:paraId="59F747FE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Implementing Actor(s)</w:t>
            </w:r>
          </w:p>
        </w:tc>
        <w:tc>
          <w:tcPr>
            <w:tcW w:w="2149" w:type="dxa"/>
            <w:vAlign w:val="center"/>
          </w:tcPr>
          <w:p w14:paraId="7E91BBDA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Timeframe</w:t>
            </w:r>
          </w:p>
        </w:tc>
      </w:tr>
      <w:tr w:rsidR="00C504EC" w14:paraId="6494B5D9" w14:textId="77777777" w:rsidTr="00B75E54">
        <w:tc>
          <w:tcPr>
            <w:tcW w:w="2016" w:type="dxa"/>
            <w:vAlign w:val="center"/>
          </w:tcPr>
          <w:p w14:paraId="3F5663CE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Climate</w:t>
            </w: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noBreakHyphen/>
              <w:t>resilient infrastructure</w:t>
            </w:r>
          </w:p>
        </w:tc>
        <w:tc>
          <w:tcPr>
            <w:tcW w:w="2668" w:type="dxa"/>
            <w:vAlign w:val="center"/>
          </w:tcPr>
          <w:p w14:paraId="703F9F6A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Install solar</w:t>
            </w: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noBreakHyphen/>
              <w:t>powered water treatment and pumping systems in 5 high</w:t>
            </w: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noBreakHyphen/>
              <w:t>priority governorates (Aleppo, Deir ez</w:t>
            </w: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noBreakHyphen/>
              <w:t>Zor, Ar</w:t>
            </w: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noBreakHyphen/>
              <w:t>Raqqa, Al</w:t>
            </w: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noBreakHyphen/>
              <w:t>Hasakah, Homs) to replace systems damaged during the conflict.</w:t>
            </w:r>
          </w:p>
        </w:tc>
        <w:tc>
          <w:tcPr>
            <w:tcW w:w="2183" w:type="dxa"/>
            <w:vAlign w:val="center"/>
          </w:tcPr>
          <w:p w14:paraId="53D38D95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MoWR</w:t>
            </w:r>
            <w:proofErr w:type="spellEnd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 xml:space="preserve"> + INGOs (UNICEF, UNDP)</w:t>
            </w:r>
          </w:p>
        </w:tc>
        <w:tc>
          <w:tcPr>
            <w:tcW w:w="2149" w:type="dxa"/>
            <w:vAlign w:val="center"/>
          </w:tcPr>
          <w:p w14:paraId="75EB7281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2025–2027</w:t>
            </w:r>
          </w:p>
        </w:tc>
      </w:tr>
      <w:tr w:rsidR="00C504EC" w14:paraId="1CCD2E41" w14:textId="77777777" w:rsidTr="00B75E54">
        <w:tc>
          <w:tcPr>
            <w:tcW w:w="2016" w:type="dxa"/>
            <w:vAlign w:val="center"/>
          </w:tcPr>
          <w:p w14:paraId="381130C1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Integrated Water Resources Management (IWRM)</w:t>
            </w:r>
          </w:p>
        </w:tc>
        <w:tc>
          <w:tcPr>
            <w:tcW w:w="2668" w:type="dxa"/>
            <w:vAlign w:val="center"/>
          </w:tcPr>
          <w:p w14:paraId="06883DAC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 xml:space="preserve">Implement a national groundwater monitoring network in Damascus, Aleppo, and </w:t>
            </w:r>
            <w:proofErr w:type="gramStart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Homs</w:t>
            </w:r>
            <w:proofErr w:type="gramEnd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 xml:space="preserve"> basins; reduce distribution losses by 15% by 2030.</w:t>
            </w:r>
          </w:p>
        </w:tc>
        <w:tc>
          <w:tcPr>
            <w:tcW w:w="2183" w:type="dxa"/>
            <w:vAlign w:val="center"/>
          </w:tcPr>
          <w:p w14:paraId="33B2B5FE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MoWR</w:t>
            </w:r>
            <w:proofErr w:type="spellEnd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 xml:space="preserve"> + FAO + UN</w:t>
            </w: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noBreakHyphen/>
              <w:t>Water</w:t>
            </w:r>
          </w:p>
        </w:tc>
        <w:tc>
          <w:tcPr>
            <w:tcW w:w="2149" w:type="dxa"/>
            <w:vAlign w:val="center"/>
          </w:tcPr>
          <w:p w14:paraId="69FCA830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2025–2028</w:t>
            </w:r>
          </w:p>
        </w:tc>
      </w:tr>
      <w:tr w:rsidR="00C504EC" w14:paraId="126F0822" w14:textId="77777777" w:rsidTr="00B75E54">
        <w:tc>
          <w:tcPr>
            <w:tcW w:w="2016" w:type="dxa"/>
            <w:vAlign w:val="center"/>
          </w:tcPr>
          <w:p w14:paraId="06742DE9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Earl warning and climate information</w:t>
            </w:r>
          </w:p>
        </w:tc>
        <w:tc>
          <w:tcPr>
            <w:tcW w:w="2668" w:type="dxa"/>
            <w:vAlign w:val="center"/>
          </w:tcPr>
          <w:p w14:paraId="32120343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Deploy a drought/flood forecasting system for the Euphrates and Yarmouk basins; link to municipal emergency protocols.</w:t>
            </w:r>
          </w:p>
        </w:tc>
        <w:tc>
          <w:tcPr>
            <w:tcW w:w="2183" w:type="dxa"/>
            <w:vAlign w:val="center"/>
          </w:tcPr>
          <w:p w14:paraId="7813DCFB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MoWR</w:t>
            </w:r>
            <w:proofErr w:type="spellEnd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 xml:space="preserve"> + WMO + Syria Meteorological Department</w:t>
            </w:r>
          </w:p>
        </w:tc>
        <w:tc>
          <w:tcPr>
            <w:tcW w:w="2149" w:type="dxa"/>
            <w:vAlign w:val="center"/>
          </w:tcPr>
          <w:p w14:paraId="2D117981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2026–2027</w:t>
            </w:r>
          </w:p>
        </w:tc>
      </w:tr>
      <w:tr w:rsidR="00C504EC" w14:paraId="71D00513" w14:textId="77777777" w:rsidTr="00B75E54">
        <w:tc>
          <w:tcPr>
            <w:tcW w:w="2016" w:type="dxa"/>
            <w:vAlign w:val="center"/>
          </w:tcPr>
          <w:p w14:paraId="4897B1A7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Institutional strengthening &amp; capacity building</w:t>
            </w:r>
          </w:p>
        </w:tc>
        <w:tc>
          <w:tcPr>
            <w:tcW w:w="2668" w:type="dxa"/>
            <w:vAlign w:val="center"/>
          </w:tcPr>
          <w:p w14:paraId="7E87416F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Train 500 WASH engineers and technicians in climate</w:t>
            </w: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noBreakHyphen/>
              <w:t>resilient design, O&amp;M, and risk assessment to rebuild human capital eroded during the conflict.</w:t>
            </w:r>
          </w:p>
        </w:tc>
        <w:tc>
          <w:tcPr>
            <w:tcW w:w="2183" w:type="dxa"/>
            <w:vAlign w:val="center"/>
          </w:tcPr>
          <w:p w14:paraId="25E64380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 xml:space="preserve">UNICEF + </w:t>
            </w:r>
            <w:proofErr w:type="spellStart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MoWR</w:t>
            </w:r>
            <w:proofErr w:type="spellEnd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 xml:space="preserve"> + local universities</w:t>
            </w:r>
          </w:p>
        </w:tc>
        <w:tc>
          <w:tcPr>
            <w:tcW w:w="2149" w:type="dxa"/>
            <w:vAlign w:val="center"/>
          </w:tcPr>
          <w:p w14:paraId="0DB848DD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2025–2028</w:t>
            </w:r>
          </w:p>
        </w:tc>
      </w:tr>
      <w:tr w:rsidR="00C504EC" w14:paraId="737929AE" w14:textId="77777777" w:rsidTr="00B75E54">
        <w:tc>
          <w:tcPr>
            <w:tcW w:w="2016" w:type="dxa"/>
            <w:vAlign w:val="center"/>
          </w:tcPr>
          <w:p w14:paraId="545F8BFC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6. Climate risk screening integration</w:t>
            </w:r>
          </w:p>
        </w:tc>
        <w:tc>
          <w:tcPr>
            <w:tcW w:w="2668" w:type="dxa"/>
            <w:vAlign w:val="center"/>
          </w:tcPr>
          <w:p w14:paraId="708A138B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Mandate systematic climate risk screening for all new WASH projects and major rehabilitation works by 2026.</w:t>
            </w:r>
          </w:p>
        </w:tc>
        <w:tc>
          <w:tcPr>
            <w:tcW w:w="2183" w:type="dxa"/>
            <w:vAlign w:val="center"/>
          </w:tcPr>
          <w:p w14:paraId="7C1CA2E5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MoWR</w:t>
            </w:r>
            <w:proofErr w:type="spellEnd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 xml:space="preserve"> + </w:t>
            </w:r>
            <w:proofErr w:type="spellStart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MoPD</w:t>
            </w:r>
            <w:proofErr w:type="spellEnd"/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 xml:space="preserve"> + donors</w:t>
            </w:r>
          </w:p>
        </w:tc>
        <w:tc>
          <w:tcPr>
            <w:tcW w:w="2149" w:type="dxa"/>
            <w:vAlign w:val="center"/>
          </w:tcPr>
          <w:p w14:paraId="71A21E81" w14:textId="77777777" w:rsidR="00C504EC" w:rsidRDefault="00C504EC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2025–2026</w:t>
            </w:r>
          </w:p>
        </w:tc>
      </w:tr>
    </w:tbl>
    <w:p w14:paraId="0A40EAEE" w14:textId="77777777" w:rsidR="00C504EC" w:rsidRPr="00D62B81" w:rsidRDefault="00C504EC" w:rsidP="00C504EC">
      <w:pPr>
        <w:rPr>
          <w:rFonts w:asciiTheme="majorBidi" w:hAnsiTheme="majorBidi" w:cstheme="majorBidi"/>
          <w:sz w:val="24"/>
          <w:szCs w:val="24"/>
        </w:rPr>
      </w:pPr>
    </w:p>
    <w:p w14:paraId="750509FA" w14:textId="77777777" w:rsidR="002D6AFB" w:rsidRDefault="002D6AFB"/>
    <w:sectPr w:rsidR="002D6AFB" w:rsidSect="005705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4EC"/>
    <w:rsid w:val="00192FF3"/>
    <w:rsid w:val="002D6AFB"/>
    <w:rsid w:val="00570574"/>
    <w:rsid w:val="0073602D"/>
    <w:rsid w:val="00A60248"/>
    <w:rsid w:val="00A97736"/>
    <w:rsid w:val="00C5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75F46"/>
  <w15:chartTrackingRefBased/>
  <w15:docId w15:val="{BF3F47FD-2B71-4744-8BFC-1CFA9A0BE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4EC"/>
    <w:pPr>
      <w:jc w:val="both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04EC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4E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4EC"/>
    <w:pPr>
      <w:keepNext/>
      <w:keepLines/>
      <w:spacing w:before="160" w:after="80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4EC"/>
    <w:pPr>
      <w:keepNext/>
      <w:keepLines/>
      <w:spacing w:before="80" w:after="40"/>
      <w:jc w:val="left"/>
      <w:outlineLvl w:val="3"/>
    </w:pPr>
    <w:rPr>
      <w:rFonts w:eastAsiaTheme="majorEastAsia" w:cstheme="majorBidi"/>
      <w:i/>
      <w:iCs/>
      <w:color w:val="0F4761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4EC"/>
    <w:pPr>
      <w:keepNext/>
      <w:keepLines/>
      <w:spacing w:before="80" w:after="40"/>
      <w:jc w:val="left"/>
      <w:outlineLvl w:val="4"/>
    </w:pPr>
    <w:rPr>
      <w:rFonts w:eastAsiaTheme="majorEastAsia" w:cstheme="majorBidi"/>
      <w:color w:val="0F4761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4EC"/>
    <w:pPr>
      <w:keepNext/>
      <w:keepLines/>
      <w:spacing w:before="40" w:after="0"/>
      <w:jc w:val="left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4EC"/>
    <w:pPr>
      <w:keepNext/>
      <w:keepLines/>
      <w:spacing w:before="40" w:after="0"/>
      <w:jc w:val="left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4EC"/>
    <w:pPr>
      <w:keepNext/>
      <w:keepLines/>
      <w:spacing w:after="0"/>
      <w:jc w:val="left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4EC"/>
    <w:pPr>
      <w:keepNext/>
      <w:keepLines/>
      <w:spacing w:after="0"/>
      <w:jc w:val="left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4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4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4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4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4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4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4EC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5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4EC"/>
    <w:pPr>
      <w:numPr>
        <w:ilvl w:val="1"/>
      </w:numPr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50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4EC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504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4EC"/>
    <w:pPr>
      <w:ind w:left="720"/>
      <w:contextualSpacing/>
      <w:jc w:val="left"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504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4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4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504EC"/>
    <w:pPr>
      <w:spacing w:after="0" w:line="240" w:lineRule="auto"/>
      <w:jc w:val="both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Nadhir Al-Ansari</dc:creator>
  <cp:keywords/>
  <dc:description/>
  <cp:lastModifiedBy>Nadhir Al-Ansari</cp:lastModifiedBy>
  <cp:revision>1</cp:revision>
  <dcterms:created xsi:type="dcterms:W3CDTF">2026-08-14T07:45:00Z</dcterms:created>
  <dcterms:modified xsi:type="dcterms:W3CDTF">2026-08-14T07:45:00Z</dcterms:modified>
</cp:coreProperties>
</file>