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Supplementary Methods</w:t>
      </w:r>
    </w:p>
    <w:p>
      <w:r>
        <w:t>MitoSeqGen: a constrained generative transformer for mammalian mitochondrial mRNA codon optimization</w:t>
      </w:r>
    </w:p>
    <w:p>
      <w:r>
        <w:t>Bonthada Sravan Kumar</w:t>
      </w:r>
    </w:p>
    <w:p>
      <w:r>
        <w:t>This file contains implementation-level detail referenced from the main text but moved here to stay within the journal's word limit. Nothing here is new content - every number and mechanism below is discussed at a higher level in the main manuscript, with a pointer to the relevant subsection here.</w:t>
      </w:r>
    </w:p>
    <w:p>
      <w:pPr>
        <w:pStyle w:val="Heading1"/>
      </w:pPr>
      <w:r>
        <w:t>S1. Full dataset quality-control checklist (referenced from Section 2.1)</w:t>
      </w:r>
    </w:p>
    <w:p>
      <w:r>
        <w:t>Each of the 244,874 candidate CDS records was passed through an 8-layer quality-control pipeline checking:</w:t>
      </w:r>
    </w:p>
    <w:p>
      <w:r>
        <w:t>(i) FASTA/GenBank format integrity;</w:t>
      </w:r>
    </w:p>
    <w:p>
      <w:r>
        <w:t>(ii) nucleotide composition (ambiguous-base rate, length divisible by 3);</w:t>
      </w:r>
    </w:p>
    <w:p>
      <w:r>
        <w:t>(iii) CDS structural validity (start codon, in-frame stop, absence of internal stop codons under the mitochondrial code);</w:t>
      </w:r>
    </w:p>
    <w:p>
      <w:r>
        <w:t>(iv) genetic-code compliance under NCBI translation table 2;</w:t>
      </w:r>
    </w:p>
    <w:p>
      <w:r>
        <w:t xml:space="preserve">(v) biological plausibility (gene-specific expected length ranges, resolved via a canonical gene-symbol normalizer handling free-text </w:t>
      </w:r>
      <w:r>
        <w:rPr>
          <w:rFonts w:ascii="Consolas" w:hAnsi="Consolas"/>
          <w:sz w:val="20"/>
        </w:rPr>
        <w:t>/product</w:t>
      </w:r>
      <w:r>
        <w:t xml:space="preserve"> fields and submitter naming inconsistencies);</w:t>
      </w:r>
    </w:p>
    <w:p>
      <w:r>
        <w:t>(vi) exact-duplicate detection;</w:t>
      </w:r>
    </w:p>
    <w:p>
      <w:r>
        <w:t xml:space="preserve">(vii) taxonomic metadata completeness (species, NCBI taxon ID, extracted from the record's </w:t>
      </w:r>
      <w:r>
        <w:rPr>
          <w:rFonts w:ascii="Consolas" w:hAnsi="Consolas"/>
          <w:sz w:val="20"/>
        </w:rPr>
        <w:t>source</w:t>
      </w:r>
      <w:r>
        <w:t xml:space="preserve"> feature); and</w:t>
      </w:r>
    </w:p>
    <w:p>
      <w:r>
        <w:t>(viii) dataset-level adequacy thresholds.</w:t>
      </w:r>
    </w:p>
    <w:p>
      <w:r>
        <w:t>100,250 records (40.9%) passed all checks. Rejection reasons, in order: exact sequence duplication (143,076 records), ambiguous-base-rate violations (1,038), length-range violations (468), non-canonical start codons (276), unrecognized gene symbols (272), with internal/invalid stop codons, minimum length, and GC-content range each accounting for fewer than 100 records.</w:t>
      </w:r>
    </w:p>
    <w:p>
      <w:pPr>
        <w:pStyle w:val="Heading1"/>
      </w:pPr>
      <w:r>
        <w:t>S2. Auxiliary GC-content training-loss experiments: full attempt-by-attempt detail (referenced from Section 2.5)</w:t>
      </w:r>
    </w:p>
    <w:p>
      <w:r>
        <w:t>Following an initial cross-entropy-only training run (Model 1), evaluation revealed two measurable weaknesses relative to the strongest baseline: GC-content and minimum free energy (MFE) similarity to natural sequences (Section 3.4 of the main text). Three subsequent attempts to close this gap via an auxiliary differentiable GC-content loss were made, detailed here:</w:t>
      </w:r>
    </w:p>
    <w:p>
      <w:pPr>
        <w:pStyle w:val="ListBullet"/>
      </w:pPr>
      <w:r>
        <w:rPr>
          <w:b/>
        </w:rPr>
        <w:t>Attempt 1</w:t>
      </w:r>
      <w:r>
        <w:t xml:space="preserve"> (batch-pooled hinge loss): penalized the batch-average expected GC fraction for straying outside a fixed [0.40, 0.47] band. This produced near-zero gradient (</w:t>
      </w:r>
      <w:r>
        <w:rPr>
          <w:rFonts w:ascii="Consolas" w:hAnsi="Consolas"/>
          <w:sz w:val="20"/>
        </w:rPr>
        <w:t>mean_gc_loss ~ 1x10^-5</w:t>
      </w:r>
      <w:r>
        <w:t>) across an entire 28-epoch training run, because the batch average rarely left the target band even though individual sequences varied well outside it.</w:t>
      </w:r>
    </w:p>
    <w:p>
      <w:pPr>
        <w:pStyle w:val="ListBullet"/>
      </w:pPr>
      <w:r>
        <w:rPr>
          <w:b/>
        </w:rPr>
        <w:t>Attempt 2</w:t>
      </w:r>
      <w:r>
        <w:t xml:space="preserve"> (per-sequence regression, unrestricted vocabulary): regressed each sequence's expected GC fraction toward its own true GC fraction. The training-time loss decreased substantially and consistently (0.0148 -&gt; 0.0027 over 26 epochs), but post-hoc evaluation (n=200 preliminary evaluation sample, predating the full-test-set evaluation used elsewhere in the paper) showed the resulting model was </w:t>
      </w:r>
      <w:r>
        <w:rPr>
          <w:i/>
        </w:rPr>
        <w:t>significantly worse</w:t>
      </w:r>
      <w:r>
        <w:t xml:space="preserve"> than the cross-entropy-only baseline on GC-deviation-from-natural (0.0419 -&gt; 0.0564, p=3.05x10^-10), BLEU-4 (0.3132 -&gt; 0.2809, p=9.69x10^-12), and codon diversity (p=1.20x10^-9). This is attributed to the loss being computed over the unrestricted 68-token output vocabulary rather than the synonym class of the true target codon: the model could reduce the training loss by shifting probability mass onto codons for the </w:t>
      </w:r>
      <w:r>
        <w:rPr>
          <w:i/>
        </w:rPr>
        <w:t>wrong</w:t>
      </w:r>
      <w:r>
        <w:t xml:space="preserve"> amino acid with favorable GC content - tokens the constrained decoder can never actually select - at the cost of degrading the in-class distribution the primary cross-entropy objective and the decoder both depend on.</w:t>
      </w:r>
    </w:p>
    <w:p>
      <w:pPr>
        <w:pStyle w:val="ListBullet"/>
      </w:pPr>
      <w:r>
        <w:rPr>
          <w:b/>
        </w:rPr>
        <w:t>Attempt 3</w:t>
      </w:r>
      <w:r>
        <w:t xml:space="preserve"> (per-position regression, synonym-class-restricted): corrected Attempt 2 by restricting the softmax to the true target's synonym class before computing expected GC, mirroring the (independently verified to work as intended) auxiliary CAI-preference loss described below. Training-loss convergence was markedly slower than Attempt 2: over each run's first 6 epochs (a directly comparable span), Attempt 3's GC-loss fell only 1.14x (0.499 -&gt; 0.436) versus a 2.78x reduction for Attempt 2 (0.0148 -&gt; 0.0053) over the same span, suggesting the objective is intrinsically harder to satisfy once restricted to biologically valid choices - consistent with the finding (Section 3.4 of the main text) that the achievable GC range under a fixed protein sequence is narrow.</w:t>
      </w:r>
    </w:p>
    <w:p>
      <w:r>
        <w:t xml:space="preserve">A synonym-class-restricted auxiliary loss encouraging preference for higher relative-synonymous-codon-usage (RSCU) codons, in the style of a soft codon-adaptation-index objective, was also implemented. This loss behaved exactly as designed - mt-CAI increased significantly relative to the cross-entropy-only baseline (n=200 preliminary evaluation sample, p=8x10^-4) - but this moved sequences </w:t>
      </w:r>
      <w:r>
        <w:rPr>
          <w:i/>
        </w:rPr>
        <w:t>away</w:t>
      </w:r>
      <w:r>
        <w:t xml:space="preserve"> from natural sequences (real mitochondrial genes average a </w:t>
      </w:r>
      <w:r>
        <w:rPr>
          <w:i/>
        </w:rPr>
        <w:t>lower</w:t>
      </w:r>
      <w:r>
        <w:t xml:space="preserve"> mt-CAI, 0.742, than any codon-usage-maximizing baseline, 0.92-1.0), consistent with the well-established observation that natural codon usage reflects multiple selective pressures beyond translational efficiency alone. This loss term was therefore disabled (weight 0) in later runs rather than treated as beneficial.</w:t>
      </w:r>
    </w:p>
    <w:p>
      <w:pPr>
        <w:pStyle w:val="Heading1"/>
      </w:pPr>
      <w:r>
        <w:t>S3. Codon-pair (Markov) transition analysis: full test conventions (referenced from Section 2.10)</w:t>
      </w:r>
    </w:p>
    <w:p>
      <w:r>
        <w:t>A first-order codon-to-codon transition probability matrix (64x64, Laplace-smoothed) was built from the training corpus as the reference, and for each evaluated method, the corresponding transition count matrix pooled across all held-out generated sequences. The stationary-frequency-weighted Kullback-Leibler divergence of each method's transition distribution from the reference is reported, alongside a chi-squared goodness-of-fit test (row-wise, states with fewer than 5 observed transitions excluded per the standard minimum-expected-count convention).</w:t>
      </w:r>
    </w:p>
    <w:p>
      <w:r>
        <w:t xml:space="preserve">The chi-squared p-value was found to be uninformative at this sample size: pooling upward of 1.5 million codon-pair transitions across 5,155 sequences gives the test enough statistical power to reject the null hypothesis (p~0) for every method evaluated, including </w:t>
      </w:r>
      <w:r>
        <w:rPr>
          <w:rFonts w:ascii="Consolas" w:hAnsi="Consolas"/>
          <w:sz w:val="20"/>
        </w:rPr>
        <w:t>natural_reference</w:t>
      </w:r>
      <w:r>
        <w:t xml:space="preserve"> itself - real, held-out natural sequences tested against a reference matrix built from other natural (training-set) sequences. A test that rejects even genuinely natural data carries no discriminating information at this N, which motivated reporting Cohen's w = sqrt(chi^2/n) (Cohen, 1988) as the primary effect size for this analysis (the same principle as the rank-biserial correlation accompanying the Wilcoxon tests elsewhere in the paper) - it does not mechanically inflate with sample size. The raw chi-squared p-value is reported in the main text for completeness only.</w:t>
      </w:r>
    </w:p>
    <w:p>
      <w:pPr>
        <w:pStyle w:val="Heading1"/>
      </w:pPr>
      <w:r>
        <w:t>S4. CodonTransformer fine-tuning ablation: implementation issues and fixes (referenced from Section 2.11)</w:t>
      </w:r>
    </w:p>
    <w:p>
      <w:r>
        <w:t>Two implementation issues surfaced during the fine-tuning ablation that are worth reporting in full for reproducibility, since both would silently corrupt results if unaddressed:</w:t>
      </w:r>
    </w:p>
    <w:p>
      <w:pPr>
        <w:pStyle w:val="ListNumber"/>
      </w:pPr>
      <w:r>
        <w:rPr>
          <w:b/>
        </w:rPr>
        <w:t>CUDA-vs-CPU embedding-resize precision bug.</w:t>
      </w:r>
      <w:r>
        <w:t xml:space="preserve"> </w:t>
      </w:r>
      <w:r>
        <w:rPr>
          <w:rFonts w:ascii="Consolas" w:hAnsi="Consolas"/>
          <w:sz w:val="20"/>
        </w:rPr>
        <w:t>resize_token_embeddings()</w:t>
      </w:r>
      <w:r>
        <w:t>'s smart initialization (HuggingFace's mean/covariance-based initialization for new embedding rows) produced entirely NaN embedding rows for the four new tokens when executed with the model already on the GPU device, but not when executed on CPU before moving the model to GPU - an apparent CUDA-vs-CPU linear-algebra precision difference in the covariance-sampling step. Fix: resize on CPU and move to GPU only afterward.</w:t>
      </w:r>
    </w:p>
    <w:p>
      <w:pPr>
        <w:pStyle w:val="ListNumber"/>
      </w:pPr>
      <w:r>
        <w:rPr>
          <w:b/>
        </w:rPr>
        <w:t>Mitochondrial stop-codon blindness in CodonTransformer's own preprocessing utility.</w:t>
      </w:r>
      <w:r>
        <w:t xml:space="preserve"> 5.2% of the training sequences end in the mitochondrial-specific stop codons AGA or AGG, which CodonTransformer's own sequence-preprocessing utility does not recognize as valid stop codons (its internal stop-codon set is hardcoded to the standard code's {TAA, TAG, TGA}). This is the same class of mitochondrial-code blindness this paper characterizes in the pretrained model itself, here surfacing in the library's own data-preparation code, and would silently corrupt label alignment for roughly one in five training batches if left unaddressed. Fix: construct label token sequences directly from known-correct protein/codon alignment rather than relying on this utility's stop-codon detection.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