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930BF2" w14:textId="77777777" w:rsidR="00B5105F" w:rsidRDefault="00FF260A" w:rsidP="00AB626F">
      <w:pPr>
        <w:spacing w:line="360" w:lineRule="auto"/>
        <w:jc w:val="both"/>
        <w:rPr>
          <w:rFonts w:ascii="Times New Roman" w:hAnsi="Times New Roman" w:cs="Times New Roman"/>
          <w:b/>
        </w:rPr>
      </w:pPr>
      <w:r>
        <w:rPr>
          <w:rFonts w:ascii="Times New Roman" w:hAnsi="Times New Roman" w:cs="Times New Roman"/>
          <w:b/>
          <w:noProof/>
        </w:rPr>
        <w:drawing>
          <wp:inline distT="0" distB="0" distL="0" distR="0" wp14:anchorId="4A99D33B" wp14:editId="0A496790">
            <wp:extent cx="6188710" cy="6375400"/>
            <wp:effectExtent l="0" t="0" r="254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igure1.tif"/>
                    <pic:cNvPicPr/>
                  </pic:nvPicPr>
                  <pic:blipFill rotWithShape="1">
                    <a:blip r:embed="rId7" cstate="print">
                      <a:extLst>
                        <a:ext uri="{28A0092B-C50C-407E-A947-70E740481C1C}">
                          <a14:useLocalDpi xmlns:a14="http://schemas.microsoft.com/office/drawing/2010/main" val="0"/>
                        </a:ext>
                      </a:extLst>
                    </a:blip>
                    <a:srcRect t="11338"/>
                    <a:stretch/>
                  </pic:blipFill>
                  <pic:spPr bwMode="auto">
                    <a:xfrm>
                      <a:off x="0" y="0"/>
                      <a:ext cx="6188710" cy="6375400"/>
                    </a:xfrm>
                    <a:prstGeom prst="rect">
                      <a:avLst/>
                    </a:prstGeom>
                    <a:ln>
                      <a:noFill/>
                    </a:ln>
                    <a:extLst>
                      <a:ext uri="{53640926-AAD7-44D8-BBD7-CCE9431645EC}">
                        <a14:shadowObscured xmlns:a14="http://schemas.microsoft.com/office/drawing/2010/main"/>
                      </a:ext>
                    </a:extLst>
                  </pic:spPr>
                </pic:pic>
              </a:graphicData>
            </a:graphic>
          </wp:inline>
        </w:drawing>
      </w:r>
    </w:p>
    <w:p w14:paraId="033E29CB" w14:textId="77777777" w:rsidR="00B5105F" w:rsidRDefault="00B5105F" w:rsidP="00AB626F">
      <w:pPr>
        <w:spacing w:line="360" w:lineRule="auto"/>
        <w:jc w:val="both"/>
        <w:rPr>
          <w:rFonts w:ascii="Times New Roman" w:hAnsi="Times New Roman" w:cs="Times New Roman"/>
          <w:b/>
        </w:rPr>
      </w:pPr>
    </w:p>
    <w:p w14:paraId="02D6135D" w14:textId="77777777" w:rsidR="00944199" w:rsidRPr="00FB0412" w:rsidRDefault="00B5105F" w:rsidP="00AB626F">
      <w:pPr>
        <w:spacing w:line="360" w:lineRule="auto"/>
        <w:jc w:val="both"/>
        <w:rPr>
          <w:rFonts w:ascii="Times New Roman" w:hAnsi="Times New Roman" w:cs="Times New Roman"/>
          <w:b/>
        </w:rPr>
      </w:pPr>
      <w:r>
        <w:rPr>
          <w:rFonts w:ascii="Times New Roman" w:hAnsi="Times New Roman" w:cs="Times New Roman"/>
          <w:b/>
        </w:rPr>
        <w:t>Fig. S1 LRRK2 G2019S mice show increased α-synuclein levels in the distal colon after repeated DSS treatment</w:t>
      </w:r>
    </w:p>
    <w:p w14:paraId="69B17641" w14:textId="05C01754" w:rsidR="00814DD6" w:rsidRDefault="00B9745F" w:rsidP="00AB626F">
      <w:pPr>
        <w:widowControl/>
        <w:spacing w:line="360" w:lineRule="auto"/>
        <w:jc w:val="both"/>
        <w:rPr>
          <w:rFonts w:ascii="Times New Roman" w:hAnsi="Times New Roman" w:cs="Times New Roman"/>
        </w:rPr>
      </w:pPr>
      <w:r w:rsidRPr="00B9745F">
        <w:rPr>
          <w:rFonts w:ascii="Times New Roman" w:hAnsi="Times New Roman" w:cs="Times New Roman"/>
          <w:b/>
        </w:rPr>
        <w:t>a</w:t>
      </w:r>
      <w:r>
        <w:rPr>
          <w:rFonts w:ascii="Times New Roman" w:hAnsi="Times New Roman" w:cs="Times New Roman"/>
        </w:rPr>
        <w:t xml:space="preserve"> </w:t>
      </w:r>
      <w:r w:rsidR="00B5105F">
        <w:rPr>
          <w:rFonts w:ascii="Times New Roman" w:hAnsi="Times New Roman" w:cs="Times New Roman"/>
        </w:rPr>
        <w:t>Stool consistency and rectal bleeding scores during repeated DSS treatment.</w:t>
      </w:r>
      <w:r>
        <w:rPr>
          <w:rFonts w:ascii="Times New Roman" w:hAnsi="Times New Roman" w:cs="Times New Roman"/>
        </w:rPr>
        <w:t xml:space="preserve"> </w:t>
      </w:r>
      <w:r w:rsidRPr="00B9745F">
        <w:rPr>
          <w:rFonts w:ascii="Times New Roman" w:hAnsi="Times New Roman" w:cs="Times New Roman"/>
          <w:b/>
        </w:rPr>
        <w:t>b-d</w:t>
      </w:r>
      <w:r w:rsidR="00B5105F">
        <w:rPr>
          <w:rFonts w:ascii="Times New Roman" w:hAnsi="Times New Roman" w:cs="Times New Roman"/>
        </w:rPr>
        <w:t xml:space="preserve"> Representative images, spleen weight, and spleen length (</w:t>
      </w:r>
      <w:r w:rsidR="00B5105F" w:rsidRPr="00B9745F">
        <w:rPr>
          <w:rFonts w:ascii="Times New Roman" w:hAnsi="Times New Roman" w:cs="Times New Roman"/>
          <w:b/>
        </w:rPr>
        <w:t>b</w:t>
      </w:r>
      <w:r w:rsidR="00B5105F">
        <w:rPr>
          <w:rFonts w:ascii="Times New Roman" w:hAnsi="Times New Roman" w:cs="Times New Roman"/>
        </w:rPr>
        <w:t>), representative immunoblot images and quantification of α-synuclein in the distal colon (</w:t>
      </w:r>
      <w:r w:rsidR="00B5105F" w:rsidRPr="00B9745F">
        <w:rPr>
          <w:rFonts w:ascii="Times New Roman" w:hAnsi="Times New Roman" w:cs="Times New Roman"/>
          <w:b/>
        </w:rPr>
        <w:t>c</w:t>
      </w:r>
      <w:r w:rsidR="00B5105F">
        <w:rPr>
          <w:rFonts w:ascii="Times New Roman" w:hAnsi="Times New Roman" w:cs="Times New Roman"/>
        </w:rPr>
        <w:t>), and expression levels of selected colonic cytokines after repeated DSS treatment (</w:t>
      </w:r>
      <w:r w:rsidR="00B5105F" w:rsidRPr="00B9745F">
        <w:rPr>
          <w:rFonts w:ascii="Times New Roman" w:hAnsi="Times New Roman" w:cs="Times New Roman"/>
          <w:b/>
        </w:rPr>
        <w:t>d</w:t>
      </w:r>
      <w:r w:rsidR="00B5105F">
        <w:rPr>
          <w:rFonts w:ascii="Times New Roman" w:hAnsi="Times New Roman" w:cs="Times New Roman"/>
        </w:rPr>
        <w:t xml:space="preserve">). Data are presented as mean ± SEM. The α-synuclein/β-actin ratio for each sample </w:t>
      </w:r>
      <w:r w:rsidR="00B5105F">
        <w:rPr>
          <w:rFonts w:ascii="Times New Roman" w:hAnsi="Times New Roman" w:cs="Times New Roman"/>
        </w:rPr>
        <w:lastRenderedPageBreak/>
        <w:t xml:space="preserve">was normalized to the average value of the NTg-control group in each experiment. N = 5–6 for control groups and N = 9–10 for DSS groups in panels </w:t>
      </w:r>
      <w:r w:rsidR="00B5105F" w:rsidRPr="00B9745F">
        <w:rPr>
          <w:rFonts w:ascii="Times New Roman" w:hAnsi="Times New Roman" w:cs="Times New Roman"/>
          <w:b/>
        </w:rPr>
        <w:t>a–c</w:t>
      </w:r>
      <w:r w:rsidR="00B5105F">
        <w:rPr>
          <w:rFonts w:ascii="Times New Roman" w:hAnsi="Times New Roman" w:cs="Times New Roman"/>
        </w:rPr>
        <w:t xml:space="preserve">. N = 2–3 for control groups and N = 4 for DSS groups in panel </w:t>
      </w:r>
      <w:r w:rsidR="00B5105F" w:rsidRPr="00B9745F">
        <w:rPr>
          <w:rFonts w:ascii="Times New Roman" w:hAnsi="Times New Roman" w:cs="Times New Roman"/>
          <w:b/>
        </w:rPr>
        <w:t>d</w:t>
      </w:r>
      <w:r w:rsidR="00B5105F">
        <w:rPr>
          <w:rFonts w:ascii="Times New Roman" w:hAnsi="Times New Roman" w:cs="Times New Roman"/>
        </w:rPr>
        <w:t xml:space="preserve">. *, </w:t>
      </w:r>
      <w:r w:rsidR="00B5105F">
        <w:rPr>
          <w:rFonts w:ascii="Times New Roman" w:hAnsi="Times New Roman" w:cs="Times New Roman"/>
          <w:i/>
          <w:iCs/>
        </w:rPr>
        <w:t>P</w:t>
      </w:r>
      <w:r w:rsidR="00B5105F">
        <w:rPr>
          <w:rFonts w:ascii="Times New Roman" w:hAnsi="Times New Roman" w:cs="Times New Roman"/>
        </w:rPr>
        <w:t xml:space="preserve"> &lt; 0.05; **, </w:t>
      </w:r>
      <w:r w:rsidR="00B5105F">
        <w:rPr>
          <w:rFonts w:ascii="Times New Roman" w:hAnsi="Times New Roman" w:cs="Times New Roman"/>
          <w:i/>
          <w:iCs/>
        </w:rPr>
        <w:t>P</w:t>
      </w:r>
      <w:r w:rsidR="00B5105F">
        <w:rPr>
          <w:rFonts w:ascii="Times New Roman" w:hAnsi="Times New Roman" w:cs="Times New Roman"/>
        </w:rPr>
        <w:t xml:space="preserve"> &lt; 0.01; ***, </w:t>
      </w:r>
      <w:r w:rsidR="00B5105F">
        <w:rPr>
          <w:rFonts w:ascii="Times New Roman" w:hAnsi="Times New Roman" w:cs="Times New Roman"/>
          <w:i/>
          <w:iCs/>
        </w:rPr>
        <w:t>P</w:t>
      </w:r>
      <w:r w:rsidR="00B5105F">
        <w:rPr>
          <w:rFonts w:ascii="Times New Roman" w:hAnsi="Times New Roman" w:cs="Times New Roman"/>
        </w:rPr>
        <w:t xml:space="preserve"> &lt; 0.001.</w:t>
      </w:r>
      <w:r w:rsidR="00B5105F">
        <w:rPr>
          <w:rFonts w:ascii="Times New Roman" w:hAnsi="Times New Roman" w:cs="Times New Roman"/>
        </w:rPr>
        <w:br w:type="page"/>
      </w:r>
    </w:p>
    <w:p w14:paraId="5812978A" w14:textId="77777777" w:rsidR="00814DD6" w:rsidRDefault="00186092" w:rsidP="00AB626F">
      <w:pPr>
        <w:spacing w:line="36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3D16ACB8" wp14:editId="29ECEB88">
            <wp:extent cx="6188710" cy="6866255"/>
            <wp:effectExtent l="0" t="0" r="254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figure2.tif"/>
                    <pic:cNvPicPr/>
                  </pic:nvPicPr>
                  <pic:blipFill rotWithShape="1">
                    <a:blip r:embed="rId8" cstate="print">
                      <a:extLst>
                        <a:ext uri="{28A0092B-C50C-407E-A947-70E740481C1C}">
                          <a14:useLocalDpi xmlns:a14="http://schemas.microsoft.com/office/drawing/2010/main" val="0"/>
                        </a:ext>
                      </a:extLst>
                    </a:blip>
                    <a:srcRect t="1637"/>
                    <a:stretch/>
                  </pic:blipFill>
                  <pic:spPr bwMode="auto">
                    <a:xfrm>
                      <a:off x="0" y="0"/>
                      <a:ext cx="6188710" cy="6866255"/>
                    </a:xfrm>
                    <a:prstGeom prst="rect">
                      <a:avLst/>
                    </a:prstGeom>
                    <a:ln>
                      <a:noFill/>
                    </a:ln>
                    <a:extLst>
                      <a:ext uri="{53640926-AAD7-44D8-BBD7-CCE9431645EC}">
                        <a14:shadowObscured xmlns:a14="http://schemas.microsoft.com/office/drawing/2010/main"/>
                      </a:ext>
                    </a:extLst>
                  </pic:spPr>
                </pic:pic>
              </a:graphicData>
            </a:graphic>
          </wp:inline>
        </w:drawing>
      </w:r>
    </w:p>
    <w:p w14:paraId="5C4C6BF6" w14:textId="77777777" w:rsidR="00AB626F" w:rsidRDefault="00AB626F" w:rsidP="00AB626F">
      <w:pPr>
        <w:spacing w:line="360" w:lineRule="auto"/>
        <w:jc w:val="both"/>
        <w:rPr>
          <w:rFonts w:ascii="Times New Roman" w:hAnsi="Times New Roman" w:cs="Times New Roman"/>
          <w:b/>
        </w:rPr>
      </w:pPr>
    </w:p>
    <w:p w14:paraId="7AD6AC9B" w14:textId="77777777" w:rsidR="00AB626F" w:rsidRDefault="00AB626F" w:rsidP="00AB626F">
      <w:pPr>
        <w:spacing w:line="360" w:lineRule="auto"/>
        <w:jc w:val="both"/>
        <w:rPr>
          <w:rFonts w:ascii="Times New Roman" w:hAnsi="Times New Roman" w:cs="Times New Roman"/>
          <w:b/>
        </w:rPr>
      </w:pPr>
      <w:r>
        <w:rPr>
          <w:rFonts w:ascii="Times New Roman" w:hAnsi="Times New Roman" w:cs="Times New Roman"/>
          <w:b/>
        </w:rPr>
        <w:t>Fig. S2 LRRK2 G2019S mice show comparable colonic immune-cell composition after experimental colitis</w:t>
      </w:r>
    </w:p>
    <w:p w14:paraId="18A8BA43" w14:textId="31443020" w:rsidR="00107EA4" w:rsidRDefault="00B9745F" w:rsidP="00AB626F">
      <w:pPr>
        <w:widowControl/>
        <w:spacing w:line="360" w:lineRule="auto"/>
        <w:rPr>
          <w:rFonts w:ascii="Times New Roman" w:hAnsi="Times New Roman" w:cs="Times New Roman"/>
        </w:rPr>
      </w:pPr>
      <w:r w:rsidRPr="00B9745F">
        <w:rPr>
          <w:rFonts w:ascii="Times New Roman" w:hAnsi="Times New Roman" w:cs="Times New Roman"/>
          <w:b/>
        </w:rPr>
        <w:t>a</w:t>
      </w:r>
      <w:r>
        <w:rPr>
          <w:rFonts w:ascii="Times New Roman" w:hAnsi="Times New Roman" w:cs="Times New Roman"/>
        </w:rPr>
        <w:t xml:space="preserve"> </w:t>
      </w:r>
      <w:r w:rsidR="00AB626F">
        <w:rPr>
          <w:rFonts w:ascii="Times New Roman" w:hAnsi="Times New Roman" w:cs="Times New Roman"/>
        </w:rPr>
        <w:t>Gating strategy for each immune-cell population.</w:t>
      </w:r>
      <w:r>
        <w:rPr>
          <w:rFonts w:ascii="Times New Roman" w:hAnsi="Times New Roman" w:cs="Times New Roman"/>
        </w:rPr>
        <w:t xml:space="preserve"> </w:t>
      </w:r>
      <w:proofErr w:type="spellStart"/>
      <w:proofErr w:type="gramStart"/>
      <w:r>
        <w:rPr>
          <w:rFonts w:ascii="Times New Roman" w:hAnsi="Times New Roman" w:cs="Times New Roman"/>
          <w:b/>
        </w:rPr>
        <w:t>b</w:t>
      </w:r>
      <w:r w:rsidRPr="00B9745F">
        <w:rPr>
          <w:rFonts w:ascii="Times New Roman" w:hAnsi="Times New Roman" w:cs="Times New Roman"/>
          <w:b/>
        </w:rPr>
        <w:t>,c</w:t>
      </w:r>
      <w:proofErr w:type="spellEnd"/>
      <w:proofErr w:type="gramEnd"/>
      <w:r w:rsidR="00AB626F">
        <w:rPr>
          <w:rFonts w:ascii="Times New Roman" w:hAnsi="Times New Roman" w:cs="Times New Roman"/>
        </w:rPr>
        <w:t xml:space="preserve"> Percentages and numbers of selected immune-cell populations in the colonic lamina propria after three cycles of DSS treatment (</w:t>
      </w:r>
      <w:r w:rsidR="00AB626F" w:rsidRPr="00B9745F">
        <w:rPr>
          <w:rFonts w:ascii="Times New Roman" w:hAnsi="Times New Roman" w:cs="Times New Roman"/>
          <w:b/>
        </w:rPr>
        <w:t>b</w:t>
      </w:r>
      <w:r w:rsidR="00AB626F">
        <w:rPr>
          <w:rFonts w:ascii="Times New Roman" w:hAnsi="Times New Roman" w:cs="Times New Roman"/>
        </w:rPr>
        <w:t xml:space="preserve">) or </w:t>
      </w:r>
      <w:r w:rsidR="00AB626F">
        <w:rPr>
          <w:rFonts w:ascii="Times New Roman" w:hAnsi="Times New Roman" w:cs="Times New Roman"/>
        </w:rPr>
        <w:lastRenderedPageBreak/>
        <w:t>acute DSS treatment (</w:t>
      </w:r>
      <w:r w:rsidR="00AB626F" w:rsidRPr="00B9745F">
        <w:rPr>
          <w:rFonts w:ascii="Times New Roman" w:hAnsi="Times New Roman" w:cs="Times New Roman"/>
          <w:b/>
        </w:rPr>
        <w:t>c</w:t>
      </w:r>
      <w:r w:rsidR="00AB626F">
        <w:rPr>
          <w:rFonts w:ascii="Times New Roman" w:hAnsi="Times New Roman" w:cs="Times New Roman"/>
        </w:rPr>
        <w:t xml:space="preserve">). Data are presented as mean ± SEM. N = 5–6 per group in panel </w:t>
      </w:r>
      <w:r w:rsidR="00AB626F" w:rsidRPr="00B9745F">
        <w:rPr>
          <w:rFonts w:ascii="Times New Roman" w:hAnsi="Times New Roman" w:cs="Times New Roman"/>
          <w:b/>
        </w:rPr>
        <w:t>b</w:t>
      </w:r>
      <w:r w:rsidR="00AB626F">
        <w:rPr>
          <w:rFonts w:ascii="Times New Roman" w:hAnsi="Times New Roman" w:cs="Times New Roman"/>
        </w:rPr>
        <w:t xml:space="preserve">. N = 2 or 4 per group in panel </w:t>
      </w:r>
      <w:r w:rsidR="00AB626F" w:rsidRPr="00B9745F">
        <w:rPr>
          <w:rFonts w:ascii="Times New Roman" w:hAnsi="Times New Roman" w:cs="Times New Roman"/>
          <w:b/>
        </w:rPr>
        <w:t>c</w:t>
      </w:r>
      <w:r w:rsidR="00AB626F">
        <w:rPr>
          <w:rFonts w:ascii="Times New Roman" w:hAnsi="Times New Roman" w:cs="Times New Roman"/>
        </w:rPr>
        <w:t>.</w:t>
      </w:r>
      <w:r w:rsidR="00AB626F">
        <w:rPr>
          <w:rFonts w:ascii="Times New Roman" w:hAnsi="Times New Roman" w:cs="Times New Roman"/>
        </w:rPr>
        <w:br w:type="page"/>
      </w:r>
    </w:p>
    <w:p w14:paraId="1BFE4ADF" w14:textId="77777777" w:rsidR="00944199" w:rsidRPr="00814DD6" w:rsidRDefault="00186092" w:rsidP="00AB626F">
      <w:pPr>
        <w:spacing w:line="36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01148E56" wp14:editId="0CA52920">
            <wp:extent cx="6188710" cy="3698875"/>
            <wp:effectExtent l="0" t="0" r="254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figure3.tif"/>
                    <pic:cNvPicPr/>
                  </pic:nvPicPr>
                  <pic:blipFill rotWithShape="1">
                    <a:blip r:embed="rId9" cstate="print">
                      <a:extLst>
                        <a:ext uri="{28A0092B-C50C-407E-A947-70E740481C1C}">
                          <a14:useLocalDpi xmlns:a14="http://schemas.microsoft.com/office/drawing/2010/main" val="0"/>
                        </a:ext>
                      </a:extLst>
                    </a:blip>
                    <a:srcRect t="18338"/>
                    <a:stretch/>
                  </pic:blipFill>
                  <pic:spPr bwMode="auto">
                    <a:xfrm>
                      <a:off x="0" y="0"/>
                      <a:ext cx="6188710" cy="3698875"/>
                    </a:xfrm>
                    <a:prstGeom prst="rect">
                      <a:avLst/>
                    </a:prstGeom>
                    <a:ln>
                      <a:noFill/>
                    </a:ln>
                    <a:extLst>
                      <a:ext uri="{53640926-AAD7-44D8-BBD7-CCE9431645EC}">
                        <a14:shadowObscured xmlns:a14="http://schemas.microsoft.com/office/drawing/2010/main"/>
                      </a:ext>
                    </a:extLst>
                  </pic:spPr>
                </pic:pic>
              </a:graphicData>
            </a:graphic>
          </wp:inline>
        </w:drawing>
      </w:r>
    </w:p>
    <w:p w14:paraId="058B1F23" w14:textId="77777777" w:rsidR="00944199" w:rsidRPr="00FB0412" w:rsidRDefault="00944199" w:rsidP="00AB626F">
      <w:pPr>
        <w:spacing w:line="360" w:lineRule="auto"/>
        <w:jc w:val="both"/>
        <w:rPr>
          <w:rFonts w:ascii="Times New Roman" w:hAnsi="Times New Roman" w:cs="Times New Roman"/>
          <w:b/>
        </w:rPr>
      </w:pPr>
      <w:r>
        <w:rPr>
          <w:rFonts w:ascii="Times New Roman" w:hAnsi="Times New Roman" w:cs="Times New Roman"/>
          <w:b/>
        </w:rPr>
        <w:t>Fig. S3 DNase I treatment alleviates rectal bleeding in LRRK2 G2019S mice</w:t>
      </w:r>
    </w:p>
    <w:p w14:paraId="45363830" w14:textId="735D6FCE" w:rsidR="00814DD6" w:rsidRDefault="00B9745F" w:rsidP="00AB626F">
      <w:pPr>
        <w:spacing w:line="360" w:lineRule="auto"/>
        <w:jc w:val="both"/>
        <w:rPr>
          <w:rFonts w:ascii="Times New Roman" w:hAnsi="Times New Roman" w:cs="Times New Roman"/>
        </w:rPr>
      </w:pPr>
      <w:r w:rsidRPr="00B9745F">
        <w:rPr>
          <w:rFonts w:ascii="Times New Roman" w:hAnsi="Times New Roman" w:cs="Times New Roman"/>
          <w:b/>
        </w:rPr>
        <w:t>a</w:t>
      </w:r>
      <w:r>
        <w:rPr>
          <w:rFonts w:ascii="Times New Roman" w:hAnsi="Times New Roman" w:cs="Times New Roman"/>
        </w:rPr>
        <w:t xml:space="preserve"> </w:t>
      </w:r>
      <w:r w:rsidR="00AB626F">
        <w:rPr>
          <w:rFonts w:ascii="Times New Roman" w:hAnsi="Times New Roman" w:cs="Times New Roman"/>
        </w:rPr>
        <w:t>Stool consistency and rectal bleeding scores during repeated DSS treatment.</w:t>
      </w:r>
      <w:r>
        <w:rPr>
          <w:rFonts w:ascii="Times New Roman" w:hAnsi="Times New Roman" w:cs="Times New Roman"/>
        </w:rPr>
        <w:t xml:space="preserve"> </w:t>
      </w:r>
      <w:r w:rsidRPr="00B9745F">
        <w:rPr>
          <w:rFonts w:ascii="Times New Roman" w:hAnsi="Times New Roman" w:cs="Times New Roman"/>
          <w:b/>
        </w:rPr>
        <w:t>b</w:t>
      </w:r>
      <w:r w:rsidR="00AB626F">
        <w:rPr>
          <w:rFonts w:ascii="Times New Roman" w:hAnsi="Times New Roman" w:cs="Times New Roman"/>
        </w:rPr>
        <w:t xml:space="preserve"> Representative immunofluorescence images and quantification of colonic NETs. Data are presented as mean ± SEM. Scale bars, 50 μm in panel </w:t>
      </w:r>
      <w:r w:rsidR="00AB626F" w:rsidRPr="00B9745F">
        <w:rPr>
          <w:rFonts w:ascii="Times New Roman" w:hAnsi="Times New Roman" w:cs="Times New Roman"/>
          <w:b/>
        </w:rPr>
        <w:t>b</w:t>
      </w:r>
      <w:r w:rsidR="00AB626F">
        <w:rPr>
          <w:rFonts w:ascii="Times New Roman" w:hAnsi="Times New Roman" w:cs="Times New Roman"/>
        </w:rPr>
        <w:t xml:space="preserve">. N = 7–8 for PBS-treated groups and N = 8–10 for DNase I-treated groups in panel </w:t>
      </w:r>
      <w:r w:rsidR="00AB626F" w:rsidRPr="00B9745F">
        <w:rPr>
          <w:rFonts w:ascii="Times New Roman" w:hAnsi="Times New Roman" w:cs="Times New Roman"/>
          <w:b/>
        </w:rPr>
        <w:t>a</w:t>
      </w:r>
      <w:r w:rsidR="00AB626F">
        <w:rPr>
          <w:rFonts w:ascii="Times New Roman" w:hAnsi="Times New Roman" w:cs="Times New Roman"/>
        </w:rPr>
        <w:t xml:space="preserve">. N = 3–4 for PBS-treated groups and N = 5–7 for DNase I-treated groups in panel </w:t>
      </w:r>
      <w:r w:rsidR="00AB626F" w:rsidRPr="00B9745F">
        <w:rPr>
          <w:rFonts w:ascii="Times New Roman" w:hAnsi="Times New Roman" w:cs="Times New Roman"/>
          <w:b/>
        </w:rPr>
        <w:t>b</w:t>
      </w:r>
      <w:r w:rsidR="00AB626F">
        <w:rPr>
          <w:rFonts w:ascii="Times New Roman" w:hAnsi="Times New Roman" w:cs="Times New Roman"/>
        </w:rPr>
        <w:t xml:space="preserve">. * and #, </w:t>
      </w:r>
      <w:r w:rsidR="00AB626F">
        <w:rPr>
          <w:rFonts w:ascii="Times New Roman" w:hAnsi="Times New Roman" w:cs="Times New Roman"/>
          <w:i/>
          <w:iCs/>
        </w:rPr>
        <w:t>P</w:t>
      </w:r>
      <w:r w:rsidR="00AB626F">
        <w:rPr>
          <w:rFonts w:ascii="Times New Roman" w:hAnsi="Times New Roman" w:cs="Times New Roman"/>
        </w:rPr>
        <w:t xml:space="preserve"> &lt; 0.05; **, </w:t>
      </w:r>
      <w:r w:rsidR="00AB626F">
        <w:rPr>
          <w:rFonts w:ascii="Times New Roman" w:hAnsi="Times New Roman" w:cs="Times New Roman"/>
          <w:i/>
          <w:iCs/>
        </w:rPr>
        <w:t>P</w:t>
      </w:r>
      <w:r w:rsidR="00AB626F">
        <w:rPr>
          <w:rFonts w:ascii="Times New Roman" w:hAnsi="Times New Roman" w:cs="Times New Roman"/>
        </w:rPr>
        <w:t xml:space="preserve"> &lt; 0.01; *** and ###, </w:t>
      </w:r>
      <w:r w:rsidR="00AB626F">
        <w:rPr>
          <w:rFonts w:ascii="Times New Roman" w:hAnsi="Times New Roman" w:cs="Times New Roman"/>
          <w:i/>
          <w:iCs/>
        </w:rPr>
        <w:t>P</w:t>
      </w:r>
      <w:r w:rsidR="00AB626F">
        <w:rPr>
          <w:rFonts w:ascii="Times New Roman" w:hAnsi="Times New Roman" w:cs="Times New Roman"/>
        </w:rPr>
        <w:t xml:space="preserve"> &lt; 0.001. In panel </w:t>
      </w:r>
      <w:r w:rsidR="00AB626F" w:rsidRPr="00B9745F">
        <w:rPr>
          <w:rFonts w:ascii="Times New Roman" w:hAnsi="Times New Roman" w:cs="Times New Roman"/>
          <w:b/>
        </w:rPr>
        <w:t>a</w:t>
      </w:r>
      <w:r w:rsidR="00AB626F">
        <w:rPr>
          <w:rFonts w:ascii="Times New Roman" w:hAnsi="Times New Roman" w:cs="Times New Roman"/>
        </w:rPr>
        <w:t>, * indicates a significant difference between LRRK2 G2019S mice treated with DNase I and PBS; # indicates a significant difference between PBS-treated LRRK2 G2019S and NTg mice.</w:t>
      </w:r>
    </w:p>
    <w:p w14:paraId="4C16654D" w14:textId="77777777" w:rsidR="00814DD6" w:rsidRDefault="00814DD6" w:rsidP="00AB626F">
      <w:pPr>
        <w:widowControl/>
        <w:spacing w:line="360" w:lineRule="auto"/>
        <w:jc w:val="both"/>
        <w:rPr>
          <w:rFonts w:ascii="Times New Roman" w:hAnsi="Times New Roman" w:cs="Times New Roman"/>
        </w:rPr>
      </w:pPr>
      <w:r>
        <w:rPr>
          <w:rFonts w:ascii="Times New Roman" w:hAnsi="Times New Roman" w:cs="Times New Roman"/>
        </w:rPr>
        <w:br w:type="page"/>
      </w:r>
    </w:p>
    <w:p w14:paraId="123908FA" w14:textId="77777777" w:rsidR="00814DD6" w:rsidRDefault="00246416" w:rsidP="00AB626F">
      <w:pPr>
        <w:spacing w:line="36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372766BA" wp14:editId="7D9CB217">
            <wp:extent cx="6188710" cy="6632575"/>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igure4.tif"/>
                    <pic:cNvPicPr/>
                  </pic:nvPicPr>
                  <pic:blipFill rotWithShape="1">
                    <a:blip r:embed="rId10" cstate="print">
                      <a:extLst>
                        <a:ext uri="{28A0092B-C50C-407E-A947-70E740481C1C}">
                          <a14:useLocalDpi xmlns:a14="http://schemas.microsoft.com/office/drawing/2010/main" val="0"/>
                        </a:ext>
                      </a:extLst>
                    </a:blip>
                    <a:srcRect t="4603"/>
                    <a:stretch/>
                  </pic:blipFill>
                  <pic:spPr bwMode="auto">
                    <a:xfrm>
                      <a:off x="0" y="0"/>
                      <a:ext cx="6188710" cy="6632575"/>
                    </a:xfrm>
                    <a:prstGeom prst="rect">
                      <a:avLst/>
                    </a:prstGeom>
                    <a:ln>
                      <a:noFill/>
                    </a:ln>
                    <a:extLst>
                      <a:ext uri="{53640926-AAD7-44D8-BBD7-CCE9431645EC}">
                        <a14:shadowObscured xmlns:a14="http://schemas.microsoft.com/office/drawing/2010/main"/>
                      </a:ext>
                    </a:extLst>
                  </pic:spPr>
                </pic:pic>
              </a:graphicData>
            </a:graphic>
          </wp:inline>
        </w:drawing>
      </w:r>
    </w:p>
    <w:p w14:paraId="311A15AB" w14:textId="77777777" w:rsidR="00944199" w:rsidRPr="00FB0412" w:rsidRDefault="00944199" w:rsidP="00AB626F">
      <w:pPr>
        <w:spacing w:line="360" w:lineRule="auto"/>
        <w:jc w:val="both"/>
        <w:rPr>
          <w:rFonts w:ascii="Times New Roman" w:hAnsi="Times New Roman" w:cs="Times New Roman"/>
          <w:b/>
        </w:rPr>
      </w:pPr>
      <w:r>
        <w:rPr>
          <w:rFonts w:ascii="Times New Roman" w:hAnsi="Times New Roman" w:cs="Times New Roman"/>
          <w:b/>
        </w:rPr>
        <w:t>Fig. S4 PAD4 deficiency partially alleviates inflammatory symptoms in DSS-treated LRRK2 G2019S mice</w:t>
      </w:r>
    </w:p>
    <w:p w14:paraId="50BE1976" w14:textId="14BC08BD" w:rsidR="00186092" w:rsidRDefault="00B9745F" w:rsidP="00AB626F">
      <w:pPr>
        <w:widowControl/>
        <w:spacing w:line="360" w:lineRule="auto"/>
        <w:jc w:val="both"/>
        <w:rPr>
          <w:rFonts w:ascii="Times New Roman" w:hAnsi="Times New Roman" w:cs="Times New Roman"/>
        </w:rPr>
      </w:pPr>
      <w:r w:rsidRPr="00B9745F">
        <w:rPr>
          <w:rFonts w:ascii="Times New Roman" w:hAnsi="Times New Roman" w:cs="Times New Roman"/>
          <w:b/>
        </w:rPr>
        <w:t>a</w:t>
      </w:r>
      <w:r>
        <w:rPr>
          <w:rFonts w:ascii="Times New Roman" w:hAnsi="Times New Roman" w:cs="Times New Roman"/>
        </w:rPr>
        <w:t xml:space="preserve"> </w:t>
      </w:r>
      <w:r w:rsidR="00AB626F">
        <w:rPr>
          <w:rFonts w:ascii="Times New Roman" w:hAnsi="Times New Roman" w:cs="Times New Roman"/>
        </w:rPr>
        <w:t>Body-weight changes, clinical scores, stool consistency, and rectal bleeding scores during repeated DSS treatment.</w:t>
      </w:r>
      <w:r>
        <w:rPr>
          <w:rFonts w:ascii="Times New Roman" w:hAnsi="Times New Roman" w:cs="Times New Roman"/>
        </w:rPr>
        <w:t xml:space="preserve"> </w:t>
      </w:r>
      <w:r w:rsidRPr="00B9745F">
        <w:rPr>
          <w:rFonts w:ascii="Times New Roman" w:hAnsi="Times New Roman" w:cs="Times New Roman"/>
          <w:b/>
        </w:rPr>
        <w:t>b-d</w:t>
      </w:r>
      <w:r w:rsidR="00AB626F">
        <w:rPr>
          <w:rFonts w:ascii="Times New Roman" w:hAnsi="Times New Roman" w:cs="Times New Roman"/>
        </w:rPr>
        <w:t xml:space="preserve"> Colon length (</w:t>
      </w:r>
      <w:r w:rsidR="00AB626F" w:rsidRPr="00B9745F">
        <w:rPr>
          <w:rFonts w:ascii="Times New Roman" w:hAnsi="Times New Roman" w:cs="Times New Roman"/>
          <w:b/>
        </w:rPr>
        <w:t>b</w:t>
      </w:r>
      <w:r w:rsidR="00AB626F">
        <w:rPr>
          <w:rFonts w:ascii="Times New Roman" w:hAnsi="Times New Roman" w:cs="Times New Roman"/>
        </w:rPr>
        <w:t>), representative H&amp;E images of the distal colon and histopathological scores (</w:t>
      </w:r>
      <w:r w:rsidR="00AB626F" w:rsidRPr="00B9745F">
        <w:rPr>
          <w:rFonts w:ascii="Times New Roman" w:hAnsi="Times New Roman" w:cs="Times New Roman"/>
          <w:b/>
        </w:rPr>
        <w:t>c</w:t>
      </w:r>
      <w:r w:rsidR="00AB626F">
        <w:rPr>
          <w:rFonts w:ascii="Times New Roman" w:hAnsi="Times New Roman" w:cs="Times New Roman"/>
        </w:rPr>
        <w:t>), and representative immunofluorescence images and quantification of colonic NETs (</w:t>
      </w:r>
      <w:r w:rsidR="00AB626F" w:rsidRPr="00B9745F">
        <w:rPr>
          <w:rFonts w:ascii="Times New Roman" w:hAnsi="Times New Roman" w:cs="Times New Roman"/>
          <w:b/>
        </w:rPr>
        <w:t>d</w:t>
      </w:r>
      <w:r w:rsidR="00AB626F">
        <w:rPr>
          <w:rFonts w:ascii="Times New Roman" w:hAnsi="Times New Roman" w:cs="Times New Roman"/>
        </w:rPr>
        <w:t xml:space="preserve">). Data are presented as mean ± SEM. Scale bars, 100 μm in panel </w:t>
      </w:r>
      <w:r w:rsidR="00AB626F" w:rsidRPr="00B9745F">
        <w:rPr>
          <w:rFonts w:ascii="Times New Roman" w:hAnsi="Times New Roman" w:cs="Times New Roman"/>
          <w:b/>
        </w:rPr>
        <w:t>c</w:t>
      </w:r>
      <w:r w:rsidR="00AB626F">
        <w:rPr>
          <w:rFonts w:ascii="Times New Roman" w:hAnsi="Times New Roman" w:cs="Times New Roman"/>
        </w:rPr>
        <w:t xml:space="preserve"> and 50 μm in </w:t>
      </w:r>
      <w:r w:rsidR="00AB626F">
        <w:rPr>
          <w:rFonts w:ascii="Times New Roman" w:hAnsi="Times New Roman" w:cs="Times New Roman"/>
        </w:rPr>
        <w:lastRenderedPageBreak/>
        <w:t xml:space="preserve">panel </w:t>
      </w:r>
      <w:r w:rsidR="00AB626F" w:rsidRPr="00B9745F">
        <w:rPr>
          <w:rFonts w:ascii="Times New Roman" w:hAnsi="Times New Roman" w:cs="Times New Roman"/>
          <w:b/>
        </w:rPr>
        <w:t>d</w:t>
      </w:r>
      <w:r w:rsidR="00AB626F">
        <w:rPr>
          <w:rFonts w:ascii="Times New Roman" w:hAnsi="Times New Roman" w:cs="Times New Roman"/>
        </w:rPr>
        <w:t xml:space="preserve">. N = 12–17 for </w:t>
      </w:r>
      <w:r w:rsidR="00AB626F">
        <w:rPr>
          <w:rFonts w:ascii="Times New Roman" w:hAnsi="Times New Roman" w:cs="Times New Roman"/>
          <w:i/>
          <w:iCs/>
        </w:rPr>
        <w:t>Pad4</w:t>
      </w:r>
      <w:r w:rsidR="00AB626F">
        <w:rPr>
          <w:rFonts w:ascii="Times New Roman" w:hAnsi="Times New Roman" w:cs="Times New Roman"/>
          <w:i/>
          <w:iCs/>
          <w:vertAlign w:val="superscript"/>
        </w:rPr>
        <w:t>+/+</w:t>
      </w:r>
      <w:r w:rsidR="00AB626F">
        <w:rPr>
          <w:rFonts w:ascii="Times New Roman" w:hAnsi="Times New Roman" w:cs="Times New Roman"/>
        </w:rPr>
        <w:t xml:space="preserve"> groups and N = 11–16 for </w:t>
      </w:r>
      <w:r w:rsidR="00AB626F">
        <w:rPr>
          <w:rFonts w:ascii="Times New Roman" w:hAnsi="Times New Roman" w:cs="Times New Roman"/>
          <w:i/>
          <w:iCs/>
        </w:rPr>
        <w:t>Pad4</w:t>
      </w:r>
      <w:r w:rsidR="00AB626F">
        <w:rPr>
          <w:rFonts w:ascii="Times New Roman" w:hAnsi="Times New Roman" w:cs="Times New Roman"/>
          <w:i/>
          <w:iCs/>
          <w:vertAlign w:val="superscript"/>
        </w:rPr>
        <w:t>−/−</w:t>
      </w:r>
      <w:r w:rsidR="00AB626F">
        <w:rPr>
          <w:rFonts w:ascii="Times New Roman" w:hAnsi="Times New Roman" w:cs="Times New Roman"/>
        </w:rPr>
        <w:t xml:space="preserve"> groups in panels </w:t>
      </w:r>
      <w:r w:rsidR="00AB626F" w:rsidRPr="00B9745F">
        <w:rPr>
          <w:rFonts w:ascii="Times New Roman" w:hAnsi="Times New Roman" w:cs="Times New Roman"/>
          <w:b/>
        </w:rPr>
        <w:t>a–d</w:t>
      </w:r>
      <w:r w:rsidR="00AB626F">
        <w:rPr>
          <w:rFonts w:ascii="Times New Roman" w:hAnsi="Times New Roman" w:cs="Times New Roman"/>
        </w:rPr>
        <w:t xml:space="preserve">. *, </w:t>
      </w:r>
      <w:r w:rsidR="00AB626F">
        <w:rPr>
          <w:rFonts w:ascii="Times New Roman" w:hAnsi="Times New Roman" w:cs="Times New Roman"/>
          <w:i/>
          <w:iCs/>
        </w:rPr>
        <w:t>P</w:t>
      </w:r>
      <w:r w:rsidR="00AB626F">
        <w:rPr>
          <w:rFonts w:ascii="Times New Roman" w:hAnsi="Times New Roman" w:cs="Times New Roman"/>
        </w:rPr>
        <w:t xml:space="preserve"> &lt; 0.05; **, </w:t>
      </w:r>
      <w:r w:rsidR="00AB626F">
        <w:rPr>
          <w:rFonts w:ascii="Times New Roman" w:hAnsi="Times New Roman" w:cs="Times New Roman"/>
          <w:i/>
          <w:iCs/>
        </w:rPr>
        <w:t>P</w:t>
      </w:r>
      <w:r w:rsidR="00AB626F">
        <w:rPr>
          <w:rFonts w:ascii="Times New Roman" w:hAnsi="Times New Roman" w:cs="Times New Roman"/>
        </w:rPr>
        <w:t xml:space="preserve"> &lt; 0.01; ***, </w:t>
      </w:r>
      <w:r w:rsidR="00AB626F">
        <w:rPr>
          <w:rFonts w:ascii="Times New Roman" w:hAnsi="Times New Roman" w:cs="Times New Roman"/>
          <w:i/>
          <w:iCs/>
        </w:rPr>
        <w:t>P</w:t>
      </w:r>
      <w:r w:rsidR="00AB626F">
        <w:rPr>
          <w:rFonts w:ascii="Times New Roman" w:hAnsi="Times New Roman" w:cs="Times New Roman"/>
        </w:rPr>
        <w:t xml:space="preserve"> &lt; 0.001. In panel </w:t>
      </w:r>
      <w:r w:rsidR="00AB626F" w:rsidRPr="00B9745F">
        <w:rPr>
          <w:rFonts w:ascii="Times New Roman" w:hAnsi="Times New Roman" w:cs="Times New Roman"/>
          <w:b/>
        </w:rPr>
        <w:t>a</w:t>
      </w:r>
      <w:r w:rsidR="00AB626F">
        <w:rPr>
          <w:rFonts w:ascii="Times New Roman" w:hAnsi="Times New Roman" w:cs="Times New Roman"/>
        </w:rPr>
        <w:t>, * indicates a significant difference between LRRK2 G2019S/</w:t>
      </w:r>
      <w:r w:rsidR="00AB626F">
        <w:rPr>
          <w:rFonts w:ascii="Times New Roman" w:hAnsi="Times New Roman" w:cs="Times New Roman"/>
          <w:i/>
          <w:iCs/>
        </w:rPr>
        <w:t>Pad4</w:t>
      </w:r>
      <w:r w:rsidR="00AB626F">
        <w:rPr>
          <w:rFonts w:ascii="Times New Roman" w:hAnsi="Times New Roman" w:cs="Times New Roman"/>
          <w:i/>
          <w:iCs/>
          <w:vertAlign w:val="superscript"/>
        </w:rPr>
        <w:t>+/+</w:t>
      </w:r>
      <w:r w:rsidR="00AB626F">
        <w:rPr>
          <w:rFonts w:ascii="Times New Roman" w:hAnsi="Times New Roman" w:cs="Times New Roman"/>
        </w:rPr>
        <w:t xml:space="preserve"> and LRRK2 G2019S/</w:t>
      </w:r>
      <w:r w:rsidR="00AB626F">
        <w:rPr>
          <w:rFonts w:ascii="Times New Roman" w:hAnsi="Times New Roman" w:cs="Times New Roman"/>
          <w:i/>
          <w:iCs/>
        </w:rPr>
        <w:t>Pad4</w:t>
      </w:r>
      <w:r w:rsidR="00AB626F">
        <w:rPr>
          <w:rFonts w:ascii="Times New Roman" w:hAnsi="Times New Roman" w:cs="Times New Roman"/>
          <w:i/>
          <w:iCs/>
          <w:vertAlign w:val="superscript"/>
        </w:rPr>
        <w:t>−/−</w:t>
      </w:r>
      <w:r w:rsidR="00AB626F">
        <w:rPr>
          <w:rFonts w:ascii="Times New Roman" w:hAnsi="Times New Roman" w:cs="Times New Roman"/>
        </w:rPr>
        <w:t xml:space="preserve"> mice; $ indicates a significant difference between NTg/</w:t>
      </w:r>
      <w:r w:rsidR="00AB626F">
        <w:rPr>
          <w:rFonts w:ascii="Times New Roman" w:hAnsi="Times New Roman" w:cs="Times New Roman"/>
          <w:i/>
          <w:iCs/>
        </w:rPr>
        <w:t>Pad4</w:t>
      </w:r>
      <w:r w:rsidR="00AB626F">
        <w:rPr>
          <w:rFonts w:ascii="Times New Roman" w:hAnsi="Times New Roman" w:cs="Times New Roman"/>
          <w:i/>
          <w:iCs/>
          <w:vertAlign w:val="superscript"/>
        </w:rPr>
        <w:t>+/+</w:t>
      </w:r>
      <w:r w:rsidR="00AB626F">
        <w:rPr>
          <w:rFonts w:ascii="Times New Roman" w:hAnsi="Times New Roman" w:cs="Times New Roman"/>
        </w:rPr>
        <w:t xml:space="preserve"> and NTg/</w:t>
      </w:r>
      <w:r w:rsidR="00AB626F">
        <w:rPr>
          <w:rFonts w:ascii="Times New Roman" w:hAnsi="Times New Roman" w:cs="Times New Roman"/>
          <w:i/>
          <w:iCs/>
        </w:rPr>
        <w:t>Pad4</w:t>
      </w:r>
      <w:r w:rsidR="00AB626F">
        <w:rPr>
          <w:rFonts w:ascii="Times New Roman" w:hAnsi="Times New Roman" w:cs="Times New Roman"/>
          <w:i/>
          <w:iCs/>
          <w:vertAlign w:val="superscript"/>
        </w:rPr>
        <w:t>−/−</w:t>
      </w:r>
      <w:r w:rsidR="00AB626F">
        <w:rPr>
          <w:rFonts w:ascii="Times New Roman" w:hAnsi="Times New Roman" w:cs="Times New Roman"/>
        </w:rPr>
        <w:t xml:space="preserve"> mice.</w:t>
      </w:r>
      <w:r w:rsidR="00AB626F">
        <w:rPr>
          <w:rFonts w:ascii="Times New Roman" w:hAnsi="Times New Roman" w:cs="Times New Roman"/>
        </w:rPr>
        <w:br w:type="page"/>
      </w:r>
    </w:p>
    <w:p w14:paraId="27E3A3A1" w14:textId="77777777" w:rsidR="005B57D2" w:rsidRDefault="00246416" w:rsidP="00AB626F">
      <w:pPr>
        <w:widowControl/>
        <w:spacing w:line="360" w:lineRule="auto"/>
        <w:jc w:val="both"/>
        <w:rPr>
          <w:rFonts w:ascii="Times New Roman" w:hAnsi="Times New Roman" w:cs="Times New Roman"/>
          <w:b/>
        </w:rPr>
      </w:pPr>
      <w:r>
        <w:rPr>
          <w:rFonts w:ascii="Times New Roman" w:hAnsi="Times New Roman" w:cs="Times New Roman"/>
          <w:b/>
          <w:noProof/>
        </w:rPr>
        <w:lastRenderedPageBreak/>
        <w:drawing>
          <wp:inline distT="0" distB="0" distL="0" distR="0" wp14:anchorId="7F690DA5" wp14:editId="7C3D655B">
            <wp:extent cx="6188710" cy="5358765"/>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igure5.tif"/>
                    <pic:cNvPicPr/>
                  </pic:nvPicPr>
                  <pic:blipFill rotWithShape="1">
                    <a:blip r:embed="rId11" cstate="print">
                      <a:extLst>
                        <a:ext uri="{28A0092B-C50C-407E-A947-70E740481C1C}">
                          <a14:useLocalDpi xmlns:a14="http://schemas.microsoft.com/office/drawing/2010/main" val="0"/>
                        </a:ext>
                      </a:extLst>
                    </a:blip>
                    <a:srcRect t="8935"/>
                    <a:stretch/>
                  </pic:blipFill>
                  <pic:spPr bwMode="auto">
                    <a:xfrm>
                      <a:off x="0" y="0"/>
                      <a:ext cx="6188710" cy="5358765"/>
                    </a:xfrm>
                    <a:prstGeom prst="rect">
                      <a:avLst/>
                    </a:prstGeom>
                    <a:ln>
                      <a:noFill/>
                    </a:ln>
                    <a:extLst>
                      <a:ext uri="{53640926-AAD7-44D8-BBD7-CCE9431645EC}">
                        <a14:shadowObscured xmlns:a14="http://schemas.microsoft.com/office/drawing/2010/main"/>
                      </a:ext>
                    </a:extLst>
                  </pic:spPr>
                </pic:pic>
              </a:graphicData>
            </a:graphic>
          </wp:inline>
        </w:drawing>
      </w:r>
    </w:p>
    <w:p w14:paraId="63091035" w14:textId="77777777" w:rsidR="005B57D2" w:rsidRDefault="005B57D2" w:rsidP="00AB626F">
      <w:pPr>
        <w:widowControl/>
        <w:spacing w:line="360" w:lineRule="auto"/>
        <w:jc w:val="both"/>
        <w:rPr>
          <w:rFonts w:ascii="Times New Roman" w:hAnsi="Times New Roman" w:cs="Times New Roman"/>
          <w:b/>
        </w:rPr>
      </w:pPr>
    </w:p>
    <w:p w14:paraId="6DBFAE59" w14:textId="77777777" w:rsidR="00944199" w:rsidRPr="00814DD6" w:rsidRDefault="005B57D2" w:rsidP="00AB626F">
      <w:pPr>
        <w:widowControl/>
        <w:spacing w:line="360" w:lineRule="auto"/>
        <w:jc w:val="both"/>
        <w:rPr>
          <w:rFonts w:ascii="Times New Roman" w:hAnsi="Times New Roman" w:cs="Times New Roman"/>
        </w:rPr>
      </w:pPr>
      <w:r>
        <w:rPr>
          <w:rFonts w:ascii="Times New Roman" w:hAnsi="Times New Roman" w:cs="Times New Roman"/>
          <w:b/>
        </w:rPr>
        <w:t>Fig. S5 Germ-free mice lack colonic NET formation after DSS treatment</w:t>
      </w:r>
    </w:p>
    <w:p w14:paraId="6D907827" w14:textId="491B97C0" w:rsidR="00814DD6" w:rsidRDefault="00B9745F" w:rsidP="00AB626F">
      <w:pPr>
        <w:widowControl/>
        <w:spacing w:line="360" w:lineRule="auto"/>
        <w:jc w:val="both"/>
        <w:rPr>
          <w:rFonts w:ascii="Times New Roman" w:hAnsi="Times New Roman" w:cs="Times New Roman"/>
        </w:rPr>
      </w:pPr>
      <w:r w:rsidRPr="00B9745F">
        <w:rPr>
          <w:rFonts w:ascii="Times New Roman" w:hAnsi="Times New Roman" w:cs="Times New Roman"/>
          <w:b/>
        </w:rPr>
        <w:t>a</w:t>
      </w:r>
      <w:r>
        <w:rPr>
          <w:rFonts w:ascii="Times New Roman" w:hAnsi="Times New Roman" w:cs="Times New Roman"/>
        </w:rPr>
        <w:t xml:space="preserve"> </w:t>
      </w:r>
      <w:r w:rsidR="005B57D2">
        <w:rPr>
          <w:rFonts w:ascii="Times New Roman" w:hAnsi="Times New Roman" w:cs="Times New Roman"/>
        </w:rPr>
        <w:t>Body-weight changes and rectal bleeding scores in germ-free mice during repeated DSS treatment.</w:t>
      </w:r>
      <w:r>
        <w:rPr>
          <w:rFonts w:ascii="Times New Roman" w:hAnsi="Times New Roman" w:cs="Times New Roman"/>
        </w:rPr>
        <w:t xml:space="preserve"> </w:t>
      </w:r>
      <w:proofErr w:type="spellStart"/>
      <w:proofErr w:type="gramStart"/>
      <w:r w:rsidRPr="00B9745F">
        <w:rPr>
          <w:rFonts w:ascii="Times New Roman" w:hAnsi="Times New Roman" w:cs="Times New Roman"/>
          <w:b/>
        </w:rPr>
        <w:t>b,c</w:t>
      </w:r>
      <w:proofErr w:type="spellEnd"/>
      <w:proofErr w:type="gramEnd"/>
      <w:r>
        <w:rPr>
          <w:rFonts w:ascii="Times New Roman" w:hAnsi="Times New Roman" w:cs="Times New Roman"/>
        </w:rPr>
        <w:t xml:space="preserve"> </w:t>
      </w:r>
      <w:r w:rsidR="005B57D2">
        <w:rPr>
          <w:rFonts w:ascii="Times New Roman" w:hAnsi="Times New Roman" w:cs="Times New Roman"/>
        </w:rPr>
        <w:t>Representative immunofluorescence images and quantification of colonic NETs (</w:t>
      </w:r>
      <w:r w:rsidR="005B57D2" w:rsidRPr="00B9745F">
        <w:rPr>
          <w:rFonts w:ascii="Times New Roman" w:hAnsi="Times New Roman" w:cs="Times New Roman"/>
          <w:b/>
        </w:rPr>
        <w:t>b</w:t>
      </w:r>
      <w:r w:rsidR="005B57D2">
        <w:rPr>
          <w:rFonts w:ascii="Times New Roman" w:hAnsi="Times New Roman" w:cs="Times New Roman"/>
        </w:rPr>
        <w:t>), and representative immunoblot images and quantification of α-synuclein (</w:t>
      </w:r>
      <w:r w:rsidR="005B57D2" w:rsidRPr="00B9745F">
        <w:rPr>
          <w:rFonts w:ascii="Times New Roman" w:hAnsi="Times New Roman" w:cs="Times New Roman"/>
          <w:b/>
        </w:rPr>
        <w:t>c</w:t>
      </w:r>
      <w:r w:rsidR="005B57D2">
        <w:rPr>
          <w:rFonts w:ascii="Times New Roman" w:hAnsi="Times New Roman" w:cs="Times New Roman"/>
        </w:rPr>
        <w:t xml:space="preserve">) in the distal colons of germ-free mice after repeated DSS treatment. Data are presented as mean ± SEM. Scale bars, 100 μm in panel </w:t>
      </w:r>
      <w:r w:rsidR="005B57D2" w:rsidRPr="00B9745F">
        <w:rPr>
          <w:rFonts w:ascii="Times New Roman" w:hAnsi="Times New Roman" w:cs="Times New Roman"/>
          <w:b/>
        </w:rPr>
        <w:t>b</w:t>
      </w:r>
      <w:r w:rsidR="005B57D2">
        <w:rPr>
          <w:rFonts w:ascii="Times New Roman" w:hAnsi="Times New Roman" w:cs="Times New Roman"/>
        </w:rPr>
        <w:t>. N = 2–4 for control groups and N = 2–8 for DSS groups.</w:t>
      </w:r>
      <w:r w:rsidR="005B57D2">
        <w:rPr>
          <w:rFonts w:ascii="Times New Roman" w:hAnsi="Times New Roman" w:cs="Times New Roman"/>
        </w:rPr>
        <w:br w:type="page"/>
      </w:r>
    </w:p>
    <w:p w14:paraId="5A5E58B1" w14:textId="77777777" w:rsidR="00814DD6" w:rsidRPr="007B06BC" w:rsidRDefault="007B06BC" w:rsidP="00AB626F">
      <w:pPr>
        <w:spacing w:line="36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5D42811A" wp14:editId="275C453D">
            <wp:extent cx="6188710" cy="5238115"/>
            <wp:effectExtent l="0" t="0" r="2540" b="63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igure6.tif"/>
                    <pic:cNvPicPr/>
                  </pic:nvPicPr>
                  <pic:blipFill rotWithShape="1">
                    <a:blip r:embed="rId12" cstate="print">
                      <a:extLst>
                        <a:ext uri="{28A0092B-C50C-407E-A947-70E740481C1C}">
                          <a14:useLocalDpi xmlns:a14="http://schemas.microsoft.com/office/drawing/2010/main" val="0"/>
                        </a:ext>
                      </a:extLst>
                    </a:blip>
                    <a:srcRect t="7158"/>
                    <a:stretch/>
                  </pic:blipFill>
                  <pic:spPr bwMode="auto">
                    <a:xfrm>
                      <a:off x="0" y="0"/>
                      <a:ext cx="6188710" cy="5238115"/>
                    </a:xfrm>
                    <a:prstGeom prst="rect">
                      <a:avLst/>
                    </a:prstGeom>
                    <a:ln>
                      <a:noFill/>
                    </a:ln>
                    <a:extLst>
                      <a:ext uri="{53640926-AAD7-44D8-BBD7-CCE9431645EC}">
                        <a14:shadowObscured xmlns:a14="http://schemas.microsoft.com/office/drawing/2010/main"/>
                      </a:ext>
                    </a:extLst>
                  </pic:spPr>
                </pic:pic>
              </a:graphicData>
            </a:graphic>
          </wp:inline>
        </w:drawing>
      </w:r>
    </w:p>
    <w:p w14:paraId="707D671F" w14:textId="77777777" w:rsidR="005B57D2" w:rsidRDefault="005B57D2" w:rsidP="00AB626F">
      <w:pPr>
        <w:spacing w:line="360" w:lineRule="auto"/>
        <w:jc w:val="both"/>
        <w:rPr>
          <w:rFonts w:ascii="Times New Roman" w:hAnsi="Times New Roman" w:cs="Times New Roman"/>
          <w:b/>
        </w:rPr>
      </w:pPr>
    </w:p>
    <w:p w14:paraId="15EA14E3" w14:textId="77777777" w:rsidR="005B57D2" w:rsidRDefault="005B57D2" w:rsidP="00AB626F">
      <w:pPr>
        <w:spacing w:line="360" w:lineRule="auto"/>
        <w:jc w:val="both"/>
        <w:rPr>
          <w:rFonts w:ascii="Times New Roman" w:hAnsi="Times New Roman" w:cs="Times New Roman"/>
          <w:b/>
        </w:rPr>
      </w:pPr>
      <w:r>
        <w:rPr>
          <w:rFonts w:ascii="Times New Roman" w:hAnsi="Times New Roman" w:cs="Times New Roman"/>
          <w:b/>
        </w:rPr>
        <w:t>Fig. S6 LRRK2 G2019S promotes NET formation independently of mitochondrial activity</w:t>
      </w:r>
    </w:p>
    <w:p w14:paraId="50300F45" w14:textId="500CC1F1" w:rsidR="00814DD6" w:rsidRDefault="00B9745F" w:rsidP="00AB626F">
      <w:pPr>
        <w:spacing w:line="360" w:lineRule="auto"/>
        <w:jc w:val="both"/>
        <w:rPr>
          <w:rFonts w:ascii="Times New Roman" w:hAnsi="Times New Roman" w:cs="Times New Roman"/>
        </w:rPr>
      </w:pPr>
      <w:proofErr w:type="spellStart"/>
      <w:proofErr w:type="gramStart"/>
      <w:r w:rsidRPr="00B9745F">
        <w:rPr>
          <w:rFonts w:ascii="Times New Roman" w:hAnsi="Times New Roman" w:cs="Times New Roman"/>
          <w:b/>
        </w:rPr>
        <w:t>a,b</w:t>
      </w:r>
      <w:proofErr w:type="spellEnd"/>
      <w:proofErr w:type="gramEnd"/>
      <w:r w:rsidRPr="00B9745F">
        <w:rPr>
          <w:rFonts w:ascii="Times New Roman" w:hAnsi="Times New Roman" w:cs="Times New Roman"/>
          <w:b/>
        </w:rPr>
        <w:t xml:space="preserve"> </w:t>
      </w:r>
      <w:r w:rsidR="005B57D2">
        <w:rPr>
          <w:rFonts w:ascii="Times New Roman" w:hAnsi="Times New Roman" w:cs="Times New Roman"/>
        </w:rPr>
        <w:t xml:space="preserve">Percentage of spread-form NETs released from NTg and LRRK2 G2019S neutrophils stimulated with hyphal </w:t>
      </w:r>
      <w:r w:rsidR="005B57D2">
        <w:rPr>
          <w:rFonts w:ascii="Times New Roman" w:hAnsi="Times New Roman" w:cs="Times New Roman"/>
          <w:i/>
          <w:iCs/>
        </w:rPr>
        <w:t>C. albicans</w:t>
      </w:r>
      <w:r w:rsidR="005B57D2">
        <w:rPr>
          <w:rFonts w:ascii="Times New Roman" w:hAnsi="Times New Roman" w:cs="Times New Roman"/>
        </w:rPr>
        <w:t xml:space="preserve"> (</w:t>
      </w:r>
      <w:r w:rsidR="005B57D2" w:rsidRPr="00B9745F">
        <w:rPr>
          <w:rFonts w:ascii="Times New Roman" w:hAnsi="Times New Roman" w:cs="Times New Roman"/>
          <w:b/>
        </w:rPr>
        <w:t>a</w:t>
      </w:r>
      <w:r w:rsidR="005B57D2">
        <w:rPr>
          <w:rFonts w:ascii="Times New Roman" w:hAnsi="Times New Roman" w:cs="Times New Roman"/>
        </w:rPr>
        <w:t>) or PMA (</w:t>
      </w:r>
      <w:r w:rsidR="005B57D2" w:rsidRPr="00B9745F">
        <w:rPr>
          <w:rFonts w:ascii="Times New Roman" w:hAnsi="Times New Roman" w:cs="Times New Roman"/>
          <w:b/>
        </w:rPr>
        <w:t>b</w:t>
      </w:r>
      <w:r w:rsidR="005B57D2">
        <w:rPr>
          <w:rFonts w:ascii="Times New Roman" w:hAnsi="Times New Roman" w:cs="Times New Roman"/>
        </w:rPr>
        <w:t>).</w:t>
      </w:r>
      <w:r>
        <w:rPr>
          <w:rFonts w:ascii="Times New Roman" w:hAnsi="Times New Roman" w:cs="Times New Roman"/>
        </w:rPr>
        <w:t xml:space="preserve"> </w:t>
      </w:r>
      <w:proofErr w:type="spellStart"/>
      <w:proofErr w:type="gramStart"/>
      <w:r w:rsidRPr="00B9745F">
        <w:rPr>
          <w:rFonts w:ascii="Times New Roman" w:hAnsi="Times New Roman" w:cs="Times New Roman"/>
          <w:b/>
        </w:rPr>
        <w:t>c,d</w:t>
      </w:r>
      <w:proofErr w:type="spellEnd"/>
      <w:proofErr w:type="gramEnd"/>
      <w:r w:rsidR="005B57D2">
        <w:rPr>
          <w:rFonts w:ascii="Times New Roman" w:hAnsi="Times New Roman" w:cs="Times New Roman"/>
        </w:rPr>
        <w:t xml:space="preserve"> Geometric mean fluorescence intensity (gMFI) of TMRE (</w:t>
      </w:r>
      <w:r w:rsidR="005B57D2" w:rsidRPr="00B9745F">
        <w:rPr>
          <w:rFonts w:ascii="Times New Roman" w:hAnsi="Times New Roman" w:cs="Times New Roman"/>
          <w:b/>
        </w:rPr>
        <w:t>c</w:t>
      </w:r>
      <w:r w:rsidR="005B57D2">
        <w:rPr>
          <w:rFonts w:ascii="Times New Roman" w:hAnsi="Times New Roman" w:cs="Times New Roman"/>
        </w:rPr>
        <w:t>) and ATP concentrations (</w:t>
      </w:r>
      <w:r w:rsidR="005B57D2" w:rsidRPr="00B9745F">
        <w:rPr>
          <w:rFonts w:ascii="Times New Roman" w:hAnsi="Times New Roman" w:cs="Times New Roman"/>
          <w:b/>
        </w:rPr>
        <w:t>d</w:t>
      </w:r>
      <w:r w:rsidR="005B57D2">
        <w:rPr>
          <w:rFonts w:ascii="Times New Roman" w:hAnsi="Times New Roman" w:cs="Times New Roman"/>
        </w:rPr>
        <w:t xml:space="preserve">) in neutrophils with or without ionomycin stimulation. Data are presented as mean ± SEM. Scale bars, 20 μm in panels </w:t>
      </w:r>
      <w:r w:rsidR="005B57D2" w:rsidRPr="00B9745F">
        <w:rPr>
          <w:rFonts w:ascii="Times New Roman" w:hAnsi="Times New Roman" w:cs="Times New Roman"/>
          <w:b/>
        </w:rPr>
        <w:t>a</w:t>
      </w:r>
      <w:r w:rsidR="005B57D2">
        <w:rPr>
          <w:rFonts w:ascii="Times New Roman" w:hAnsi="Times New Roman" w:cs="Times New Roman"/>
        </w:rPr>
        <w:t xml:space="preserve"> and </w:t>
      </w:r>
      <w:r w:rsidR="005B57D2" w:rsidRPr="00B9745F">
        <w:rPr>
          <w:rFonts w:ascii="Times New Roman" w:hAnsi="Times New Roman" w:cs="Times New Roman"/>
          <w:b/>
        </w:rPr>
        <w:t>b</w:t>
      </w:r>
      <w:r w:rsidR="005B57D2">
        <w:rPr>
          <w:rFonts w:ascii="Times New Roman" w:hAnsi="Times New Roman" w:cs="Times New Roman"/>
        </w:rPr>
        <w:t xml:space="preserve">. N = 6 in panel a. N = 4 in panel b. N = 3 in panels </w:t>
      </w:r>
      <w:r w:rsidR="005B57D2" w:rsidRPr="00B9745F">
        <w:rPr>
          <w:rFonts w:ascii="Times New Roman" w:hAnsi="Times New Roman" w:cs="Times New Roman"/>
          <w:b/>
        </w:rPr>
        <w:t>c</w:t>
      </w:r>
      <w:r w:rsidR="005B57D2">
        <w:rPr>
          <w:rFonts w:ascii="Times New Roman" w:hAnsi="Times New Roman" w:cs="Times New Roman"/>
        </w:rPr>
        <w:t xml:space="preserve"> and </w:t>
      </w:r>
      <w:r w:rsidR="005B57D2" w:rsidRPr="00B9745F">
        <w:rPr>
          <w:rFonts w:ascii="Times New Roman" w:hAnsi="Times New Roman" w:cs="Times New Roman"/>
          <w:b/>
        </w:rPr>
        <w:t>d</w:t>
      </w:r>
      <w:r w:rsidR="005B57D2">
        <w:rPr>
          <w:rFonts w:ascii="Times New Roman" w:hAnsi="Times New Roman" w:cs="Times New Roman"/>
        </w:rPr>
        <w:t xml:space="preserve">. **, </w:t>
      </w:r>
      <w:r w:rsidR="005B57D2">
        <w:rPr>
          <w:rFonts w:ascii="Times New Roman" w:hAnsi="Times New Roman" w:cs="Times New Roman"/>
          <w:i/>
          <w:iCs/>
        </w:rPr>
        <w:t>P</w:t>
      </w:r>
      <w:r w:rsidR="005B57D2">
        <w:rPr>
          <w:rFonts w:ascii="Times New Roman" w:hAnsi="Times New Roman" w:cs="Times New Roman"/>
        </w:rPr>
        <w:t xml:space="preserve"> &lt; 0.01.</w:t>
      </w:r>
    </w:p>
    <w:p w14:paraId="5EC6BCDB" w14:textId="77777777" w:rsidR="00814DD6" w:rsidRDefault="00814DD6" w:rsidP="00AB626F">
      <w:pPr>
        <w:widowControl/>
        <w:spacing w:line="360" w:lineRule="auto"/>
        <w:jc w:val="both"/>
        <w:rPr>
          <w:rFonts w:ascii="Times New Roman" w:hAnsi="Times New Roman" w:cs="Times New Roman"/>
        </w:rPr>
      </w:pPr>
      <w:r>
        <w:rPr>
          <w:rFonts w:ascii="Times New Roman" w:hAnsi="Times New Roman" w:cs="Times New Roman"/>
        </w:rPr>
        <w:br w:type="page"/>
      </w:r>
    </w:p>
    <w:p w14:paraId="094801E4" w14:textId="77777777" w:rsidR="00814DD6" w:rsidRDefault="007B06BC" w:rsidP="00AB626F">
      <w:pPr>
        <w:spacing w:line="36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402C9955" wp14:editId="4A33A334">
            <wp:extent cx="6188710" cy="3429635"/>
            <wp:effectExtent l="0" t="0" r="254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figure7.tif"/>
                    <pic:cNvPicPr/>
                  </pic:nvPicPr>
                  <pic:blipFill rotWithShape="1">
                    <a:blip r:embed="rId13" cstate="print">
                      <a:extLst>
                        <a:ext uri="{28A0092B-C50C-407E-A947-70E740481C1C}">
                          <a14:useLocalDpi xmlns:a14="http://schemas.microsoft.com/office/drawing/2010/main" val="0"/>
                        </a:ext>
                      </a:extLst>
                    </a:blip>
                    <a:srcRect t="10357"/>
                    <a:stretch/>
                  </pic:blipFill>
                  <pic:spPr bwMode="auto">
                    <a:xfrm>
                      <a:off x="0" y="0"/>
                      <a:ext cx="6188710" cy="3429635"/>
                    </a:xfrm>
                    <a:prstGeom prst="rect">
                      <a:avLst/>
                    </a:prstGeom>
                    <a:ln>
                      <a:noFill/>
                    </a:ln>
                    <a:extLst>
                      <a:ext uri="{53640926-AAD7-44D8-BBD7-CCE9431645EC}">
                        <a14:shadowObscured xmlns:a14="http://schemas.microsoft.com/office/drawing/2010/main"/>
                      </a:ext>
                    </a:extLst>
                  </pic:spPr>
                </pic:pic>
              </a:graphicData>
            </a:graphic>
          </wp:inline>
        </w:drawing>
      </w:r>
    </w:p>
    <w:p w14:paraId="2A7D439F" w14:textId="77777777" w:rsidR="005B57D2" w:rsidRDefault="005B57D2" w:rsidP="00AB626F">
      <w:pPr>
        <w:spacing w:line="360" w:lineRule="auto"/>
        <w:jc w:val="both"/>
        <w:rPr>
          <w:rFonts w:ascii="Times New Roman" w:hAnsi="Times New Roman" w:cs="Times New Roman"/>
          <w:b/>
        </w:rPr>
      </w:pPr>
    </w:p>
    <w:p w14:paraId="229802A8" w14:textId="77777777" w:rsidR="005B57D2" w:rsidRDefault="005B57D2" w:rsidP="00AB626F">
      <w:pPr>
        <w:spacing w:line="360" w:lineRule="auto"/>
        <w:jc w:val="both"/>
        <w:rPr>
          <w:rFonts w:ascii="Times New Roman" w:hAnsi="Times New Roman" w:cs="Times New Roman"/>
          <w:b/>
        </w:rPr>
      </w:pPr>
      <w:r>
        <w:rPr>
          <w:rFonts w:ascii="Times New Roman" w:hAnsi="Times New Roman" w:cs="Times New Roman"/>
          <w:b/>
        </w:rPr>
        <w:t>Fig. S7 Hyperactive LRRK2 G2019S does not alter chromatin-release-associated events during NET formation</w:t>
      </w:r>
    </w:p>
    <w:p w14:paraId="3CAA9CFB" w14:textId="1CE2BC1E" w:rsidR="00F83A3F" w:rsidRDefault="00B9745F" w:rsidP="00AB626F">
      <w:pPr>
        <w:spacing w:line="360" w:lineRule="auto"/>
        <w:jc w:val="both"/>
        <w:rPr>
          <w:rFonts w:ascii="Times New Roman" w:hAnsi="Times New Roman" w:cs="Times New Roman"/>
        </w:rPr>
      </w:pPr>
      <w:r>
        <w:rPr>
          <w:rFonts w:ascii="Times New Roman" w:hAnsi="Times New Roman" w:cs="Times New Roman"/>
          <w:b/>
        </w:rPr>
        <w:t>a</w:t>
      </w:r>
      <w:r>
        <w:rPr>
          <w:rFonts w:ascii="Times New Roman" w:hAnsi="Times New Roman" w:cs="Times New Roman"/>
        </w:rPr>
        <w:t xml:space="preserve"> </w:t>
      </w:r>
      <w:r w:rsidR="00BF5021">
        <w:rPr>
          <w:rFonts w:ascii="Times New Roman" w:hAnsi="Times New Roman" w:cs="Times New Roman"/>
        </w:rPr>
        <w:t xml:space="preserve">Representative immunoblot images and quantification of citrullinated histone H3 (citH3) and histone H3 in neutrophils stimulated with ionomycin for 3 h. The citH3/histone H3 ratios were normalized to the value of ionomycin-stimulated NTg neutrophils in each experiment. N = 7. </w:t>
      </w:r>
      <w:r>
        <w:rPr>
          <w:rFonts w:ascii="Times New Roman" w:hAnsi="Times New Roman" w:cs="Times New Roman"/>
          <w:b/>
        </w:rPr>
        <w:t>b</w:t>
      </w:r>
      <w:r>
        <w:rPr>
          <w:rFonts w:ascii="Times New Roman" w:hAnsi="Times New Roman" w:cs="Times New Roman"/>
        </w:rPr>
        <w:t xml:space="preserve"> </w:t>
      </w:r>
      <w:r w:rsidR="00BF5021">
        <w:rPr>
          <w:rFonts w:ascii="Times New Roman" w:hAnsi="Times New Roman" w:cs="Times New Roman"/>
        </w:rPr>
        <w:t>Representative immunoblot images and quantification of full-length and N-terminal gasdermin D (GSDMD) in neutrophils stimulated with ionomycin for 1 h. The N-terminal/full-length GSDMD ratios were normalized to the value of unstimulated NTg neutrophils in each experiment. N = 3. Data are presented as mean ± SEM.</w:t>
      </w:r>
    </w:p>
    <w:p w14:paraId="78551AA1" w14:textId="314D22AD" w:rsidR="007B06BC" w:rsidRDefault="007B06BC" w:rsidP="009D6FC8">
      <w:pPr>
        <w:widowControl/>
        <w:spacing w:line="360" w:lineRule="auto"/>
        <w:jc w:val="both"/>
        <w:rPr>
          <w:rFonts w:ascii="Times New Roman" w:hAnsi="Times New Roman" w:cs="Times New Roman"/>
        </w:rPr>
      </w:pPr>
      <w:r>
        <w:rPr>
          <w:rFonts w:ascii="Times New Roman" w:hAnsi="Times New Roman" w:cs="Times New Roman"/>
        </w:rPr>
        <w:br w:type="page"/>
      </w:r>
      <w:r w:rsidR="0041765E">
        <w:rPr>
          <w:rFonts w:ascii="Times New Roman" w:hAnsi="Times New Roman" w:cs="Times New Roman"/>
          <w:noProof/>
        </w:rPr>
        <w:lastRenderedPageBreak/>
        <w:drawing>
          <wp:inline distT="0" distB="0" distL="0" distR="0" wp14:anchorId="77381D63" wp14:editId="25BBF91E">
            <wp:extent cx="6188710" cy="689864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igure8.tif"/>
                    <pic:cNvPicPr/>
                  </pic:nvPicPr>
                  <pic:blipFill rotWithShape="1">
                    <a:blip r:embed="rId14" cstate="print">
                      <a:extLst>
                        <a:ext uri="{28A0092B-C50C-407E-A947-70E740481C1C}">
                          <a14:useLocalDpi xmlns:a14="http://schemas.microsoft.com/office/drawing/2010/main" val="0"/>
                        </a:ext>
                      </a:extLst>
                    </a:blip>
                    <a:srcRect t="5134"/>
                    <a:stretch/>
                  </pic:blipFill>
                  <pic:spPr bwMode="auto">
                    <a:xfrm>
                      <a:off x="0" y="0"/>
                      <a:ext cx="6188710" cy="6898640"/>
                    </a:xfrm>
                    <a:prstGeom prst="rect">
                      <a:avLst/>
                    </a:prstGeom>
                    <a:ln>
                      <a:noFill/>
                    </a:ln>
                    <a:extLst>
                      <a:ext uri="{53640926-AAD7-44D8-BBD7-CCE9431645EC}">
                        <a14:shadowObscured xmlns:a14="http://schemas.microsoft.com/office/drawing/2010/main"/>
                      </a:ext>
                    </a:extLst>
                  </pic:spPr>
                </pic:pic>
              </a:graphicData>
            </a:graphic>
          </wp:inline>
        </w:drawing>
      </w:r>
    </w:p>
    <w:p w14:paraId="73EB7D55" w14:textId="77777777" w:rsidR="007B06BC" w:rsidRDefault="007B06BC" w:rsidP="007B06BC">
      <w:pPr>
        <w:spacing w:line="360" w:lineRule="auto"/>
        <w:jc w:val="both"/>
        <w:rPr>
          <w:rFonts w:ascii="Times New Roman" w:hAnsi="Times New Roman" w:cs="Times New Roman"/>
        </w:rPr>
      </w:pPr>
      <w:r>
        <w:rPr>
          <w:rFonts w:ascii="Times New Roman" w:hAnsi="Times New Roman" w:cs="Times New Roman"/>
          <w:b/>
        </w:rPr>
        <w:t>Fig. S8 The activation of LRRK2-RAB10 pathway depends on extracellular calcium but not HOCl production</w:t>
      </w:r>
    </w:p>
    <w:p w14:paraId="2C3426D5" w14:textId="6D910CFD" w:rsidR="00F83A3F" w:rsidRPr="007B06BC" w:rsidRDefault="00B9745F" w:rsidP="007B06BC">
      <w:pPr>
        <w:widowControl/>
        <w:spacing w:line="360" w:lineRule="auto"/>
        <w:jc w:val="both"/>
        <w:rPr>
          <w:rFonts w:ascii="Times New Roman" w:hAnsi="Times New Roman" w:cs="Times New Roman"/>
        </w:rPr>
      </w:pPr>
      <w:r w:rsidRPr="00B9745F">
        <w:rPr>
          <w:rFonts w:ascii="Times New Roman" w:hAnsi="Times New Roman" w:cs="Times New Roman"/>
          <w:b/>
        </w:rPr>
        <w:t>a</w:t>
      </w:r>
      <w:r>
        <w:rPr>
          <w:rFonts w:ascii="Times New Roman" w:hAnsi="Times New Roman" w:cs="Times New Roman"/>
        </w:rPr>
        <w:t xml:space="preserve"> </w:t>
      </w:r>
      <w:r w:rsidR="007B06BC">
        <w:rPr>
          <w:rFonts w:ascii="Times New Roman" w:hAnsi="Times New Roman" w:cs="Times New Roman"/>
        </w:rPr>
        <w:t>Representative immunoblot images of RAB10 in lentivirus-transduced dHL-60 cells.</w:t>
      </w:r>
      <w:r>
        <w:rPr>
          <w:rFonts w:ascii="Times New Roman" w:hAnsi="Times New Roman" w:cs="Times New Roman"/>
        </w:rPr>
        <w:t xml:space="preserve"> </w:t>
      </w:r>
      <w:r w:rsidRPr="00B9745F">
        <w:rPr>
          <w:rFonts w:ascii="Times New Roman" w:hAnsi="Times New Roman" w:cs="Times New Roman"/>
          <w:b/>
        </w:rPr>
        <w:t>b</w:t>
      </w:r>
      <w:r>
        <w:rPr>
          <w:rFonts w:ascii="Times New Roman" w:hAnsi="Times New Roman" w:cs="Times New Roman"/>
        </w:rPr>
        <w:t xml:space="preserve"> </w:t>
      </w:r>
      <w:r w:rsidR="007B06BC">
        <w:rPr>
          <w:rFonts w:ascii="Times New Roman" w:hAnsi="Times New Roman" w:cs="Times New Roman"/>
        </w:rPr>
        <w:t>Representative immunoblot images of pRAB10 in MLi-2-treated neutrophils after ionomycin stimulation for 60 min.</w:t>
      </w:r>
      <w:r w:rsidR="007B06BC">
        <w:rPr>
          <w:rFonts w:ascii="Times New Roman" w:hAnsi="Times New Roman" w:cs="Times New Roman" w:hint="eastAsia"/>
        </w:rPr>
        <w:t xml:space="preserve"> </w:t>
      </w:r>
      <w:r w:rsidRPr="00B9745F">
        <w:rPr>
          <w:rFonts w:ascii="Times New Roman" w:hAnsi="Times New Roman" w:cs="Times New Roman"/>
          <w:b/>
        </w:rPr>
        <w:t>c</w:t>
      </w:r>
      <w:r>
        <w:rPr>
          <w:rFonts w:ascii="Times New Roman" w:hAnsi="Times New Roman" w:cs="Times New Roman"/>
        </w:rPr>
        <w:t xml:space="preserve"> </w:t>
      </w:r>
      <w:r w:rsidR="0041765E" w:rsidRPr="0041765E">
        <w:rPr>
          <w:rFonts w:ascii="Times New Roman" w:eastAsia="Times New Roman" w:hAnsi="Times New Roman"/>
          <w:color w:val="000000" w:themeColor="text1"/>
        </w:rPr>
        <w:t>Manders'</w:t>
      </w:r>
      <w:r w:rsidR="007B06BC">
        <w:rPr>
          <w:rFonts w:ascii="Times New Roman" w:eastAsia="Times New Roman" w:hAnsi="Times New Roman"/>
          <w:color w:val="000000" w:themeColor="text1"/>
        </w:rPr>
        <w:t xml:space="preserve"> coefficient MPO-pRAB10 and pRAB10-MPO quantification within </w:t>
      </w:r>
      <w:r w:rsidR="007B06BC">
        <w:rPr>
          <w:rFonts w:ascii="Times New Roman" w:eastAsia="Times New Roman" w:hAnsi="Times New Roman"/>
          <w:color w:val="000000" w:themeColor="text1"/>
        </w:rPr>
        <w:lastRenderedPageBreak/>
        <w:t>CD63</w:t>
      </w:r>
      <w:r w:rsidR="007B06BC">
        <w:rPr>
          <w:rFonts w:ascii="Times New Roman" w:eastAsia="Times New Roman" w:hAnsi="Times New Roman"/>
          <w:color w:val="000000" w:themeColor="text1"/>
          <w:vertAlign w:val="superscript"/>
        </w:rPr>
        <w:t>+</w:t>
      </w:r>
      <w:r w:rsidR="007B06BC">
        <w:rPr>
          <w:rFonts w:ascii="Times New Roman" w:eastAsia="Times New Roman" w:hAnsi="Times New Roman"/>
          <w:color w:val="000000" w:themeColor="text1"/>
        </w:rPr>
        <w:t xml:space="preserve"> area of each cell from MLi-2 treatment. </w:t>
      </w:r>
      <w:proofErr w:type="spellStart"/>
      <w:proofErr w:type="gramStart"/>
      <w:r w:rsidRPr="00B9745F">
        <w:rPr>
          <w:rFonts w:ascii="Times New Roman" w:eastAsia="Times New Roman" w:hAnsi="Times New Roman"/>
          <w:b/>
          <w:color w:val="000000" w:themeColor="text1"/>
        </w:rPr>
        <w:t>d,e</w:t>
      </w:r>
      <w:proofErr w:type="spellEnd"/>
      <w:proofErr w:type="gramEnd"/>
      <w:r>
        <w:rPr>
          <w:rFonts w:ascii="Times New Roman" w:eastAsia="Times New Roman" w:hAnsi="Times New Roman"/>
          <w:color w:val="000000" w:themeColor="text1"/>
        </w:rPr>
        <w:t xml:space="preserve"> </w:t>
      </w:r>
      <w:r w:rsidR="0041765E" w:rsidRPr="0041765E">
        <w:rPr>
          <w:rFonts w:ascii="Times New Roman" w:eastAsia="Times New Roman" w:hAnsi="Times New Roman"/>
          <w:color w:val="000000" w:themeColor="text1"/>
        </w:rPr>
        <w:t>Manders'</w:t>
      </w:r>
      <w:r w:rsidR="007B06BC">
        <w:rPr>
          <w:rFonts w:ascii="Times New Roman" w:eastAsia="Times New Roman" w:hAnsi="Times New Roman"/>
          <w:color w:val="000000" w:themeColor="text1"/>
        </w:rPr>
        <w:t xml:space="preserve"> coefficient MPO-DNA and DNA-MPO quantification in each cell from</w:t>
      </w:r>
      <w:r w:rsidR="007B06BC">
        <w:rPr>
          <w:rFonts w:ascii="Times New Roman" w:hAnsi="Times New Roman" w:cs="Times New Roman"/>
          <w:color w:val="000000" w:themeColor="text1"/>
        </w:rPr>
        <w:t xml:space="preserve"> the</w:t>
      </w:r>
      <w:r w:rsidR="007B06BC">
        <w:rPr>
          <w:rFonts w:ascii="Times New Roman" w:eastAsia="Times New Roman" w:hAnsi="Times New Roman"/>
          <w:color w:val="000000" w:themeColor="text1"/>
        </w:rPr>
        <w:t xml:space="preserve"> timepoint experiment (</w:t>
      </w:r>
      <w:r w:rsidR="007B06BC" w:rsidRPr="00B9745F">
        <w:rPr>
          <w:rFonts w:ascii="Times New Roman" w:eastAsia="Times New Roman" w:hAnsi="Times New Roman"/>
          <w:b/>
          <w:color w:val="000000" w:themeColor="text1"/>
        </w:rPr>
        <w:t>d</w:t>
      </w:r>
      <w:r w:rsidR="007B06BC">
        <w:rPr>
          <w:rFonts w:ascii="Times New Roman" w:eastAsia="Times New Roman" w:hAnsi="Times New Roman"/>
          <w:color w:val="000000" w:themeColor="text1"/>
        </w:rPr>
        <w:t>) and the kinase inhibition experiment (</w:t>
      </w:r>
      <w:r w:rsidR="007B06BC" w:rsidRPr="00B9745F">
        <w:rPr>
          <w:rFonts w:ascii="Times New Roman" w:eastAsia="Times New Roman" w:hAnsi="Times New Roman"/>
          <w:b/>
          <w:color w:val="000000" w:themeColor="text1"/>
        </w:rPr>
        <w:t>e</w:t>
      </w:r>
      <w:r w:rsidR="007B06BC">
        <w:rPr>
          <w:rFonts w:ascii="Times New Roman" w:eastAsia="Times New Roman" w:hAnsi="Times New Roman"/>
          <w:color w:val="000000" w:themeColor="text1"/>
        </w:rPr>
        <w:t xml:space="preserve">). </w:t>
      </w:r>
      <w:r w:rsidRPr="00B9745F">
        <w:rPr>
          <w:rFonts w:ascii="Times New Roman" w:eastAsia="Times New Roman" w:hAnsi="Times New Roman"/>
          <w:b/>
          <w:color w:val="000000" w:themeColor="text1"/>
        </w:rPr>
        <w:t>f</w:t>
      </w:r>
      <w:r>
        <w:rPr>
          <w:rFonts w:ascii="Times New Roman" w:eastAsia="Times New Roman" w:hAnsi="Times New Roman"/>
          <w:color w:val="000000" w:themeColor="text1"/>
        </w:rPr>
        <w:t xml:space="preserve"> </w:t>
      </w:r>
      <w:r w:rsidR="0041765E">
        <w:rPr>
          <w:rFonts w:ascii="Times New Roman" w:eastAsia="Times New Roman" w:hAnsi="Times New Roman"/>
          <w:color w:val="000000" w:themeColor="text1"/>
        </w:rPr>
        <w:t>The volume of DNA</w:t>
      </w:r>
      <w:r w:rsidR="0041765E" w:rsidRPr="0041765E">
        <w:rPr>
          <w:rFonts w:ascii="Times New Roman" w:eastAsia="Times New Roman" w:hAnsi="Times New Roman"/>
          <w:color w:val="000000" w:themeColor="text1"/>
          <w:vertAlign w:val="superscript"/>
        </w:rPr>
        <w:t>+</w:t>
      </w:r>
      <w:r w:rsidR="0041765E">
        <w:rPr>
          <w:rFonts w:ascii="Times New Roman" w:eastAsia="Times New Roman" w:hAnsi="Times New Roman"/>
          <w:color w:val="000000" w:themeColor="text1"/>
        </w:rPr>
        <w:t xml:space="preserve"> regions </w:t>
      </w:r>
      <w:r w:rsidR="00DD17BC">
        <w:rPr>
          <w:rFonts w:ascii="Times New Roman" w:eastAsia="Times New Roman" w:hAnsi="Times New Roman"/>
          <w:color w:val="000000" w:themeColor="text1"/>
        </w:rPr>
        <w:t>per</w:t>
      </w:r>
      <w:r w:rsidR="0041765E">
        <w:rPr>
          <w:rFonts w:ascii="Times New Roman" w:eastAsia="Times New Roman" w:hAnsi="Times New Roman"/>
          <w:color w:val="000000" w:themeColor="text1"/>
        </w:rPr>
        <w:t xml:space="preserve"> cell </w:t>
      </w:r>
      <w:r w:rsidR="00DD17BC">
        <w:rPr>
          <w:rFonts w:ascii="Times New Roman" w:eastAsia="Times New Roman" w:hAnsi="Times New Roman"/>
          <w:color w:val="000000" w:themeColor="text1"/>
        </w:rPr>
        <w:t xml:space="preserve">in </w:t>
      </w:r>
      <w:r w:rsidR="0041765E">
        <w:rPr>
          <w:rFonts w:ascii="Times New Roman" w:eastAsia="Times New Roman" w:hAnsi="Times New Roman"/>
          <w:color w:val="000000" w:themeColor="text1"/>
        </w:rPr>
        <w:t>the kinase inhibition experiment</w:t>
      </w:r>
      <w:r w:rsidR="00DD17BC">
        <w:rPr>
          <w:rFonts w:ascii="Times New Roman" w:eastAsia="Times New Roman" w:hAnsi="Times New Roman"/>
          <w:color w:val="000000" w:themeColor="text1"/>
        </w:rPr>
        <w:t>s</w:t>
      </w:r>
      <w:r w:rsidR="0041765E">
        <w:rPr>
          <w:rFonts w:ascii="Times New Roman" w:eastAsia="Times New Roman" w:hAnsi="Times New Roman"/>
          <w:color w:val="000000" w:themeColor="text1"/>
        </w:rPr>
        <w:t xml:space="preserve">. </w:t>
      </w:r>
      <w:r w:rsidR="0041765E" w:rsidRPr="0041765E">
        <w:rPr>
          <w:rFonts w:ascii="Times New Roman" w:eastAsia="Times New Roman" w:hAnsi="Times New Roman"/>
          <w:b/>
          <w:color w:val="000000" w:themeColor="text1"/>
        </w:rPr>
        <w:t>g</w:t>
      </w:r>
      <w:r w:rsidR="0041765E">
        <w:rPr>
          <w:rFonts w:ascii="Times New Roman" w:eastAsia="Times New Roman" w:hAnsi="Times New Roman"/>
          <w:color w:val="000000" w:themeColor="text1"/>
        </w:rPr>
        <w:t xml:space="preserve"> </w:t>
      </w:r>
      <w:r w:rsidR="007B06BC">
        <w:rPr>
          <w:rFonts w:ascii="Times New Roman" w:hAnsi="Times New Roman" w:cs="Times New Roman"/>
        </w:rPr>
        <w:t>Representative immunoblot images of pRAB10 in neutrophils stimulated with ionomycin for 3 h in medium with or without calcium.</w:t>
      </w:r>
      <w:r>
        <w:rPr>
          <w:rFonts w:ascii="Times New Roman" w:hAnsi="Times New Roman" w:cs="Times New Roman"/>
        </w:rPr>
        <w:t xml:space="preserve"> </w:t>
      </w:r>
      <w:r w:rsidR="0041765E">
        <w:rPr>
          <w:rFonts w:ascii="Times New Roman" w:hAnsi="Times New Roman" w:cs="Times New Roman"/>
          <w:b/>
        </w:rPr>
        <w:t>h</w:t>
      </w:r>
      <w:r w:rsidR="007B06BC">
        <w:rPr>
          <w:rFonts w:ascii="Times New Roman" w:hAnsi="Times New Roman" w:cs="Times New Roman"/>
        </w:rPr>
        <w:t xml:space="preserve"> Representative immunoblot images and quantification of pRAB10 and total RAB10 in neutrophils treated with or without dihydrolipoic acid followed by ionomycin stimulation for 3 h. The pRAB10/RAB10 ratios were normalized to the value of ionomycin-stimulated NTg neutrophils in each experiment. N = 2–4 per group. Data are presented as mean ± SEM. I</w:t>
      </w:r>
      <w:r w:rsidR="007B06BC">
        <w:rPr>
          <w:rFonts w:ascii="Times New Roman" w:eastAsia="Times New Roman" w:hAnsi="Times New Roman"/>
          <w:color w:val="000000" w:themeColor="text1"/>
        </w:rPr>
        <w:t xml:space="preserve">n panel </w:t>
      </w:r>
      <w:r w:rsidR="007B06BC" w:rsidRPr="00B9745F">
        <w:rPr>
          <w:rFonts w:ascii="Times New Roman" w:eastAsia="Times New Roman" w:hAnsi="Times New Roman"/>
          <w:b/>
          <w:color w:val="000000" w:themeColor="text1"/>
        </w:rPr>
        <w:t>c</w:t>
      </w:r>
      <w:r w:rsidR="0041765E" w:rsidRPr="0041765E">
        <w:rPr>
          <w:rFonts w:ascii="Times New Roman" w:eastAsia="Times New Roman" w:hAnsi="Times New Roman"/>
          <w:color w:val="000000" w:themeColor="text1"/>
        </w:rPr>
        <w:t>,</w:t>
      </w:r>
      <w:r w:rsidR="0041765E">
        <w:rPr>
          <w:rFonts w:ascii="Times New Roman" w:eastAsia="Times New Roman" w:hAnsi="Times New Roman"/>
          <w:b/>
          <w:color w:val="000000" w:themeColor="text1"/>
        </w:rPr>
        <w:t xml:space="preserve"> e</w:t>
      </w:r>
      <w:r w:rsidR="007B06BC">
        <w:rPr>
          <w:rFonts w:ascii="Times New Roman" w:eastAsia="Times New Roman" w:hAnsi="Times New Roman"/>
          <w:color w:val="000000" w:themeColor="text1"/>
        </w:rPr>
        <w:t xml:space="preserve"> and </w:t>
      </w:r>
      <w:r w:rsidR="0041765E">
        <w:rPr>
          <w:rFonts w:ascii="Times New Roman" w:eastAsia="Times New Roman" w:hAnsi="Times New Roman"/>
          <w:b/>
          <w:color w:val="000000" w:themeColor="text1"/>
        </w:rPr>
        <w:t>f</w:t>
      </w:r>
      <w:r w:rsidR="007B06BC">
        <w:rPr>
          <w:rFonts w:ascii="Times New Roman" w:eastAsia="Times New Roman" w:hAnsi="Times New Roman"/>
          <w:color w:val="000000" w:themeColor="text1"/>
        </w:rPr>
        <w:t xml:space="preserve">, 6, 14, 11-13 cells from non-stimulated, ionomycin-stimulated, and MLi-2+ionomycin-stimulated groups were analyzed. </w:t>
      </w:r>
      <w:r w:rsidR="007B06BC">
        <w:rPr>
          <w:rFonts w:ascii="Times New Roman" w:hAnsi="Times New Roman" w:cs="Times New Roman"/>
        </w:rPr>
        <w:t>I</w:t>
      </w:r>
      <w:r w:rsidR="007B06BC">
        <w:rPr>
          <w:rFonts w:ascii="Times New Roman" w:eastAsia="Times New Roman" w:hAnsi="Times New Roman"/>
          <w:color w:val="000000" w:themeColor="text1"/>
        </w:rPr>
        <w:t xml:space="preserve">n panel </w:t>
      </w:r>
      <w:r w:rsidR="007B06BC" w:rsidRPr="00B9745F">
        <w:rPr>
          <w:rFonts w:ascii="Times New Roman" w:eastAsia="Times New Roman" w:hAnsi="Times New Roman"/>
          <w:b/>
          <w:color w:val="000000" w:themeColor="text1"/>
        </w:rPr>
        <w:t>d</w:t>
      </w:r>
      <w:r w:rsidR="007B06BC">
        <w:rPr>
          <w:rFonts w:ascii="Times New Roman" w:eastAsia="Times New Roman" w:hAnsi="Times New Roman"/>
          <w:color w:val="000000" w:themeColor="text1"/>
        </w:rPr>
        <w:t>,</w:t>
      </w:r>
      <w:r w:rsidR="007B06BC">
        <w:rPr>
          <w:rFonts w:ascii="Times New Roman" w:hAnsi="Times New Roman" w:cs="Times New Roman"/>
        </w:rPr>
        <w:t xml:space="preserve"> </w:t>
      </w:r>
      <w:r w:rsidR="007B06BC">
        <w:rPr>
          <w:rFonts w:ascii="Times New Roman" w:eastAsia="Times New Roman" w:hAnsi="Times New Roman"/>
          <w:color w:val="000000" w:themeColor="text1"/>
        </w:rPr>
        <w:t xml:space="preserve">8-14 cells from non-stimulated groups and 15-40 cells from ionomycin-stimulated groups were analyzed. </w:t>
      </w:r>
      <w:r w:rsidR="007B06BC">
        <w:rPr>
          <w:rFonts w:ascii="Times New Roman" w:hAnsi="Times New Roman" w:cs="Times New Roman"/>
        </w:rPr>
        <w:t xml:space="preserve">*, </w:t>
      </w:r>
      <w:r w:rsidR="007B06BC">
        <w:rPr>
          <w:rFonts w:ascii="Times New Roman" w:hAnsi="Times New Roman" w:cs="Times New Roman"/>
          <w:i/>
        </w:rPr>
        <w:t>P</w:t>
      </w:r>
      <w:r w:rsidR="007B06BC">
        <w:rPr>
          <w:rFonts w:ascii="Times New Roman" w:hAnsi="Times New Roman" w:cs="Times New Roman"/>
        </w:rPr>
        <w:t xml:space="preserve"> &lt; 0.05; **, </w:t>
      </w:r>
      <w:r w:rsidR="007B06BC">
        <w:rPr>
          <w:rFonts w:ascii="Times New Roman" w:hAnsi="Times New Roman" w:cs="Times New Roman"/>
          <w:i/>
        </w:rPr>
        <w:t>P</w:t>
      </w:r>
      <w:r w:rsidR="007B06BC">
        <w:rPr>
          <w:rFonts w:ascii="Times New Roman" w:hAnsi="Times New Roman" w:cs="Times New Roman"/>
        </w:rPr>
        <w:t xml:space="preserve"> &lt; 0.01; ***, </w:t>
      </w:r>
      <w:r w:rsidR="007B06BC">
        <w:rPr>
          <w:rFonts w:ascii="Times New Roman" w:hAnsi="Times New Roman" w:cs="Times New Roman"/>
          <w:i/>
        </w:rPr>
        <w:t>P</w:t>
      </w:r>
      <w:r w:rsidR="007B06BC">
        <w:rPr>
          <w:rFonts w:ascii="Times New Roman" w:hAnsi="Times New Roman" w:cs="Times New Roman"/>
        </w:rPr>
        <w:t xml:space="preserve"> &lt; 0.001.</w:t>
      </w:r>
    </w:p>
    <w:p w14:paraId="67C28415" w14:textId="77777777" w:rsidR="000350A7" w:rsidRPr="00D75F70" w:rsidRDefault="00230794" w:rsidP="00AB626F">
      <w:pPr>
        <w:spacing w:line="360" w:lineRule="auto"/>
        <w:jc w:val="both"/>
        <w:rPr>
          <w:rFonts w:ascii="Times New Roman" w:hAnsi="Times New Roman" w:cs="Times New Roman"/>
          <w:b/>
        </w:rPr>
      </w:pPr>
      <w:r>
        <w:rPr>
          <w:rFonts w:ascii="Times New Roman" w:hAnsi="Times New Roman" w:cs="Times New Roman"/>
          <w:b/>
          <w:noProof/>
        </w:rPr>
        <w:lastRenderedPageBreak/>
        <w:drawing>
          <wp:inline distT="0" distB="0" distL="0" distR="0" wp14:anchorId="0A5702FD" wp14:editId="674646F2">
            <wp:extent cx="6188710" cy="8269605"/>
            <wp:effectExtent l="0" t="0" r="254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figure9.tif"/>
                    <pic:cNvPicPr/>
                  </pic:nvPicPr>
                  <pic:blipFill>
                    <a:blip r:embed="rId15">
                      <a:extLst>
                        <a:ext uri="{28A0092B-C50C-407E-A947-70E740481C1C}">
                          <a14:useLocalDpi xmlns:a14="http://schemas.microsoft.com/office/drawing/2010/main" val="0"/>
                        </a:ext>
                      </a:extLst>
                    </a:blip>
                    <a:stretch>
                      <a:fillRect/>
                    </a:stretch>
                  </pic:blipFill>
                  <pic:spPr>
                    <a:xfrm>
                      <a:off x="0" y="0"/>
                      <a:ext cx="6188710" cy="8269605"/>
                    </a:xfrm>
                    <a:prstGeom prst="rect">
                      <a:avLst/>
                    </a:prstGeom>
                  </pic:spPr>
                </pic:pic>
              </a:graphicData>
            </a:graphic>
          </wp:inline>
        </w:drawing>
      </w:r>
    </w:p>
    <w:p w14:paraId="2C51F724" w14:textId="4A2BAA02" w:rsidR="00944199" w:rsidRDefault="00F733EA" w:rsidP="00AB626F">
      <w:pPr>
        <w:spacing w:line="360" w:lineRule="auto"/>
        <w:jc w:val="both"/>
        <w:rPr>
          <w:rFonts w:ascii="Times New Roman" w:hAnsi="Times New Roman" w:cs="Times New Roman"/>
        </w:rPr>
      </w:pPr>
      <w:r>
        <w:rPr>
          <w:rFonts w:ascii="Times New Roman" w:hAnsi="Times New Roman" w:cs="Times New Roman"/>
          <w:b/>
        </w:rPr>
        <w:t xml:space="preserve">Fig. S9 </w:t>
      </w:r>
      <w:r w:rsidR="007F5826">
        <w:rPr>
          <w:rFonts w:ascii="Times New Roman" w:hAnsi="Times New Roman" w:cs="Times New Roman"/>
          <w:b/>
        </w:rPr>
        <w:t>Proposed model: LRRK2-dependent RAB10 phosphorylation promotes MPO–</w:t>
      </w:r>
      <w:proofErr w:type="spellStart"/>
      <w:r w:rsidR="007F5826">
        <w:rPr>
          <w:rFonts w:ascii="Times New Roman" w:hAnsi="Times New Roman" w:cs="Times New Roman"/>
          <w:b/>
        </w:rPr>
        <w:t>HOCl</w:t>
      </w:r>
      <w:proofErr w:type="spellEnd"/>
      <w:r w:rsidR="007F5826">
        <w:rPr>
          <w:rFonts w:ascii="Times New Roman" w:hAnsi="Times New Roman" w:cs="Times New Roman"/>
          <w:b/>
        </w:rPr>
        <w:t>-</w:t>
      </w:r>
      <w:r w:rsidR="007F5826">
        <w:rPr>
          <w:rFonts w:ascii="Times New Roman" w:hAnsi="Times New Roman" w:cs="Times New Roman"/>
          <w:b/>
        </w:rPr>
        <w:lastRenderedPageBreak/>
        <w:t>dependent NET formation</w:t>
      </w:r>
    </w:p>
    <w:p w14:paraId="294C0DAF" w14:textId="77777777" w:rsidR="007F5826" w:rsidRDefault="007F5826" w:rsidP="00AB626F">
      <w:pPr>
        <w:spacing w:line="360" w:lineRule="auto"/>
        <w:jc w:val="both"/>
        <w:rPr>
          <w:rFonts w:ascii="Times New Roman" w:hAnsi="Times New Roman" w:cs="Times New Roman"/>
          <w:iCs/>
        </w:rPr>
      </w:pPr>
      <w:r w:rsidRPr="007F5826">
        <w:rPr>
          <w:rFonts w:ascii="Times New Roman" w:hAnsi="Times New Roman" w:cs="Times New Roman"/>
          <w:iCs/>
        </w:rPr>
        <w:t xml:space="preserve">Working model of the pathway supported by the data in this study. </w:t>
      </w:r>
    </w:p>
    <w:p w14:paraId="06A15C06" w14:textId="77777777" w:rsidR="007F5826" w:rsidRDefault="007F5826" w:rsidP="00AB626F">
      <w:pPr>
        <w:spacing w:line="360" w:lineRule="auto"/>
        <w:jc w:val="both"/>
        <w:rPr>
          <w:rFonts w:ascii="Times New Roman" w:hAnsi="Times New Roman" w:cs="Times New Roman"/>
          <w:iCs/>
        </w:rPr>
      </w:pPr>
      <w:r w:rsidRPr="007F5826">
        <w:rPr>
          <w:rFonts w:ascii="Times New Roman" w:hAnsi="Times New Roman" w:cs="Times New Roman"/>
          <w:i/>
        </w:rPr>
        <w:t>Top</w:t>
      </w:r>
      <w:r w:rsidRPr="007F5826">
        <w:rPr>
          <w:rFonts w:ascii="Times New Roman" w:hAnsi="Times New Roman" w:cs="Times New Roman"/>
          <w:iCs/>
        </w:rPr>
        <w:t xml:space="preserve">, in a stimulated neutrophil, influx of extracellular calcium is required both for the shared </w:t>
      </w:r>
      <w:proofErr w:type="spellStart"/>
      <w:r w:rsidRPr="007F5826">
        <w:rPr>
          <w:rFonts w:ascii="Times New Roman" w:hAnsi="Times New Roman" w:cs="Times New Roman"/>
          <w:iCs/>
        </w:rPr>
        <w:t>NETosis</w:t>
      </w:r>
      <w:proofErr w:type="spellEnd"/>
      <w:r w:rsidRPr="007F5826">
        <w:rPr>
          <w:rFonts w:ascii="Times New Roman" w:hAnsi="Times New Roman" w:cs="Times New Roman"/>
          <w:iCs/>
        </w:rPr>
        <w:t xml:space="preserve"> machinery — reactive oxygen species (ROS) generation, PAD4-mediated histone citrullination, neutrophil elastase (NE) release, and </w:t>
      </w:r>
      <w:proofErr w:type="spellStart"/>
      <w:r w:rsidRPr="007F5826">
        <w:rPr>
          <w:rFonts w:ascii="Times New Roman" w:hAnsi="Times New Roman" w:cs="Times New Roman"/>
          <w:iCs/>
        </w:rPr>
        <w:t>gasdermin</w:t>
      </w:r>
      <w:proofErr w:type="spellEnd"/>
      <w:r w:rsidRPr="007F5826">
        <w:rPr>
          <w:rFonts w:ascii="Times New Roman" w:hAnsi="Times New Roman" w:cs="Times New Roman"/>
          <w:iCs/>
        </w:rPr>
        <w:t xml:space="preserve"> D (GSDMD) pore formation, which together drive chromatin </w:t>
      </w:r>
      <w:proofErr w:type="spellStart"/>
      <w:r w:rsidRPr="007F5826">
        <w:rPr>
          <w:rFonts w:ascii="Times New Roman" w:hAnsi="Times New Roman" w:cs="Times New Roman"/>
          <w:iCs/>
        </w:rPr>
        <w:t>decondensation</w:t>
      </w:r>
      <w:proofErr w:type="spellEnd"/>
      <w:r w:rsidRPr="007F5826">
        <w:rPr>
          <w:rFonts w:ascii="Times New Roman" w:hAnsi="Times New Roman" w:cs="Times New Roman"/>
          <w:iCs/>
        </w:rPr>
        <w:t xml:space="preserve"> and extrusion — and for activation of LRRK2. In neutrophils carrying LRRK2 G2019S, elevated kinase activity increases RAB10 phosphorylation at Thr73 (pRAB10). Phosphorylated RAB10 acts together with myeloperoxidase (MPO) and its oxidant product hypochlorous acid (</w:t>
      </w:r>
      <w:proofErr w:type="spellStart"/>
      <w:r w:rsidRPr="007F5826">
        <w:rPr>
          <w:rFonts w:ascii="Times New Roman" w:hAnsi="Times New Roman" w:cs="Times New Roman"/>
          <w:iCs/>
        </w:rPr>
        <w:t>HOCl</w:t>
      </w:r>
      <w:proofErr w:type="spellEnd"/>
      <w:r w:rsidRPr="007F5826">
        <w:rPr>
          <w:rFonts w:ascii="Times New Roman" w:hAnsi="Times New Roman" w:cs="Times New Roman"/>
          <w:iCs/>
        </w:rPr>
        <w:t xml:space="preserve">): MPO inhibition or </w:t>
      </w:r>
      <w:proofErr w:type="spellStart"/>
      <w:r w:rsidRPr="007F5826">
        <w:rPr>
          <w:rFonts w:ascii="Times New Roman" w:hAnsi="Times New Roman" w:cs="Times New Roman"/>
          <w:iCs/>
        </w:rPr>
        <w:t>HOCl</w:t>
      </w:r>
      <w:proofErr w:type="spellEnd"/>
      <w:r w:rsidRPr="007F5826">
        <w:rPr>
          <w:rFonts w:ascii="Times New Roman" w:hAnsi="Times New Roman" w:cs="Times New Roman"/>
          <w:iCs/>
        </w:rPr>
        <w:t xml:space="preserve"> scavenging abolishes the enhanced NET release conferred by LRRK2 G2019S and by </w:t>
      </w:r>
      <w:proofErr w:type="spellStart"/>
      <w:r w:rsidRPr="007F5826">
        <w:rPr>
          <w:rFonts w:ascii="Times New Roman" w:hAnsi="Times New Roman" w:cs="Times New Roman"/>
          <w:iCs/>
        </w:rPr>
        <w:t>phosphomimetic</w:t>
      </w:r>
      <w:proofErr w:type="spellEnd"/>
      <w:r w:rsidRPr="007F5826">
        <w:rPr>
          <w:rFonts w:ascii="Times New Roman" w:hAnsi="Times New Roman" w:cs="Times New Roman"/>
          <w:iCs/>
        </w:rPr>
        <w:t xml:space="preserve"> RAB10, whereas </w:t>
      </w:r>
      <w:proofErr w:type="spellStart"/>
      <w:r w:rsidRPr="007F5826">
        <w:rPr>
          <w:rFonts w:ascii="Times New Roman" w:hAnsi="Times New Roman" w:cs="Times New Roman"/>
          <w:iCs/>
        </w:rPr>
        <w:t>HOCl</w:t>
      </w:r>
      <w:proofErr w:type="spellEnd"/>
      <w:r w:rsidRPr="007F5826">
        <w:rPr>
          <w:rFonts w:ascii="Times New Roman" w:hAnsi="Times New Roman" w:cs="Times New Roman"/>
          <w:iCs/>
        </w:rPr>
        <w:t xml:space="preserve"> scavenging does not reduce RAB10 phosphorylation, placing pRAB10 upstream of the MPO–</w:t>
      </w:r>
      <w:proofErr w:type="spellStart"/>
      <w:r w:rsidRPr="007F5826">
        <w:rPr>
          <w:rFonts w:ascii="Times New Roman" w:hAnsi="Times New Roman" w:cs="Times New Roman"/>
          <w:iCs/>
        </w:rPr>
        <w:t>HOCl</w:t>
      </w:r>
      <w:proofErr w:type="spellEnd"/>
      <w:r w:rsidRPr="007F5826">
        <w:rPr>
          <w:rFonts w:ascii="Times New Roman" w:hAnsi="Times New Roman" w:cs="Times New Roman"/>
          <w:iCs/>
        </w:rPr>
        <w:t xml:space="preserve"> axis. Increased co-occurrence of pRAB10 and MPO within DNA⁺ regions, reversed by LRRK2 kinase inhibition, indicates that RAB10 phosphorylation facilitates redistribution of MPO-containing granule material toward decondensing chromatin. Mitochondrial ROS, histone citrullination, and GSDMD cleavage were not detectably altered by LRRK2 G2019S, and neither superoxide scavenging nor NE inhibition eliminated the genotype-dependent difference; these steps are therefore depicted as the shared </w:t>
      </w:r>
      <w:proofErr w:type="spellStart"/>
      <w:r w:rsidRPr="007F5826">
        <w:rPr>
          <w:rFonts w:ascii="Times New Roman" w:hAnsi="Times New Roman" w:cs="Times New Roman"/>
          <w:iCs/>
        </w:rPr>
        <w:t>NETosis</w:t>
      </w:r>
      <w:proofErr w:type="spellEnd"/>
      <w:r w:rsidRPr="007F5826">
        <w:rPr>
          <w:rFonts w:ascii="Times New Roman" w:hAnsi="Times New Roman" w:cs="Times New Roman"/>
          <w:iCs/>
        </w:rPr>
        <w:t xml:space="preserve"> program on which the LRRK2–RAB10–MPO branch acts. Symbols for citrullinated histones and GSDMD are given in the key. </w:t>
      </w:r>
    </w:p>
    <w:p w14:paraId="278016E2" w14:textId="65B5B303" w:rsidR="00944199" w:rsidRPr="007F5826" w:rsidRDefault="007F5826" w:rsidP="00AB626F">
      <w:pPr>
        <w:spacing w:line="360" w:lineRule="auto"/>
        <w:jc w:val="both"/>
        <w:rPr>
          <w:rFonts w:ascii="Times New Roman" w:hAnsi="Times New Roman" w:cs="Times New Roman"/>
          <w:iCs/>
        </w:rPr>
      </w:pPr>
      <w:r w:rsidRPr="007F5826">
        <w:rPr>
          <w:rFonts w:ascii="Times New Roman" w:hAnsi="Times New Roman" w:cs="Times New Roman"/>
          <w:i/>
        </w:rPr>
        <w:t>Bottom</w:t>
      </w:r>
      <w:r w:rsidRPr="007F5826">
        <w:rPr>
          <w:rFonts w:ascii="Times New Roman" w:hAnsi="Times New Roman" w:cs="Times New Roman"/>
          <w:iCs/>
        </w:rPr>
        <w:t>, during intestinal inflammation, microbiota-derived cues are required for colonic NET formation; in LRRK2 G2019S mice this neutrophil-intrinsic pathway increases NET release in the inflamed colon and is accompanied by increased enteric α-synuclein accumulation.</w:t>
      </w:r>
    </w:p>
    <w:p w14:paraId="77FA94BF" w14:textId="77777777" w:rsidR="00377E39" w:rsidRPr="00944199" w:rsidRDefault="00377E39" w:rsidP="00AB626F">
      <w:pPr>
        <w:spacing w:line="360" w:lineRule="auto"/>
        <w:jc w:val="both"/>
      </w:pPr>
    </w:p>
    <w:sectPr w:rsidR="00377E39" w:rsidRPr="00944199" w:rsidSect="004B5963">
      <w:footerReference w:type="default" r:id="rId1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8AD22A" w14:textId="77777777" w:rsidR="00361D46" w:rsidRDefault="00361D46" w:rsidP="00EC73DC">
      <w:r>
        <w:separator/>
      </w:r>
    </w:p>
  </w:endnote>
  <w:endnote w:type="continuationSeparator" w:id="0">
    <w:p w14:paraId="67F94A59" w14:textId="77777777" w:rsidR="00361D46" w:rsidRDefault="00361D46" w:rsidP="00EC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77633942"/>
      <w:docPartObj>
        <w:docPartGallery w:val="Page Numbers (Bottom of Page)"/>
        <w:docPartUnique/>
      </w:docPartObj>
    </w:sdtPr>
    <w:sdtEndPr>
      <w:rPr>
        <w:rFonts w:ascii="Times New Roman" w:hAnsi="Times New Roman" w:cs="Times New Roman"/>
        <w:sz w:val="22"/>
      </w:rPr>
    </w:sdtEndPr>
    <w:sdtContent>
      <w:p w14:paraId="1DC58DC4" w14:textId="77777777" w:rsidR="00EC73DC" w:rsidRPr="00EC73DC" w:rsidRDefault="00EC73DC">
        <w:pPr>
          <w:pStyle w:val="Footer"/>
          <w:jc w:val="center"/>
          <w:rPr>
            <w:rFonts w:ascii="Times New Roman" w:hAnsi="Times New Roman" w:cs="Times New Roman"/>
            <w:sz w:val="22"/>
          </w:rPr>
        </w:pPr>
        <w:r w:rsidRPr="00EC73DC">
          <w:rPr>
            <w:rFonts w:ascii="Times New Roman" w:hAnsi="Times New Roman" w:cs="Times New Roman"/>
            <w:sz w:val="22"/>
          </w:rPr>
          <w:fldChar w:fldCharType="begin"/>
        </w:r>
        <w:r w:rsidRPr="00EC73DC">
          <w:rPr>
            <w:rFonts w:ascii="Times New Roman" w:hAnsi="Times New Roman" w:cs="Times New Roman"/>
            <w:sz w:val="22"/>
          </w:rPr>
          <w:instrText>PAGE   \* MERGEFORMAT</w:instrText>
        </w:r>
        <w:r w:rsidRPr="00EC73DC">
          <w:rPr>
            <w:rFonts w:ascii="Times New Roman" w:hAnsi="Times New Roman" w:cs="Times New Roman"/>
            <w:sz w:val="22"/>
          </w:rPr>
          <w:fldChar w:fldCharType="separate"/>
        </w:r>
        <w:r w:rsidRPr="00EC73DC">
          <w:rPr>
            <w:rFonts w:ascii="Times New Roman" w:hAnsi="Times New Roman" w:cs="Times New Roman"/>
            <w:sz w:val="22"/>
            <w:lang w:val="zh-TW"/>
          </w:rPr>
          <w:t>2</w:t>
        </w:r>
        <w:r w:rsidRPr="00EC73DC">
          <w:rPr>
            <w:rFonts w:ascii="Times New Roman" w:hAnsi="Times New Roman" w:cs="Times New Roman"/>
            <w:sz w:val="22"/>
          </w:rPr>
          <w:fldChar w:fldCharType="end"/>
        </w:r>
      </w:p>
    </w:sdtContent>
  </w:sdt>
  <w:p w14:paraId="3EDC471C" w14:textId="77777777" w:rsidR="00EC73DC" w:rsidRDefault="00EC7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B0AF07" w14:textId="77777777" w:rsidR="00361D46" w:rsidRDefault="00361D46" w:rsidP="00EC73DC">
      <w:r>
        <w:separator/>
      </w:r>
    </w:p>
  </w:footnote>
  <w:footnote w:type="continuationSeparator" w:id="0">
    <w:p w14:paraId="37FC7003" w14:textId="77777777" w:rsidR="00361D46" w:rsidRDefault="00361D46" w:rsidP="00EC7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DB567B"/>
    <w:multiLevelType w:val="multilevel"/>
    <w:tmpl w:val="0409001F"/>
    <w:styleLink w:val="1"/>
    <w:lvl w:ilvl="0">
      <w:start w:val="1"/>
      <w:numFmt w:val="decimal"/>
      <w:lvlText w:val="%1."/>
      <w:lvlJc w:val="left"/>
      <w:pPr>
        <w:ind w:left="425" w:hanging="425"/>
      </w:pPr>
      <w:rPr>
        <w:sz w:val="28"/>
      </w:rPr>
    </w:lvl>
    <w:lvl w:ilvl="1">
      <w:start w:val="1"/>
      <w:numFmt w:val="decimal"/>
      <w:lvlText w:val="%1.%2."/>
      <w:lvlJc w:val="left"/>
      <w:pPr>
        <w:ind w:left="807" w:hanging="567"/>
      </w:pPr>
      <w:rPr>
        <w:rFonts w:hint="eastAsia"/>
      </w:rPr>
    </w:lvl>
    <w:lvl w:ilvl="2">
      <w:start w:val="1"/>
      <w:numFmt w:val="decimal"/>
      <w:lvlText w:val="%1.%2.%3."/>
      <w:lvlJc w:val="left"/>
      <w:pPr>
        <w:ind w:left="1189" w:hanging="709"/>
      </w:pPr>
      <w:rPr>
        <w:rFonts w:hint="eastAsia"/>
      </w:rPr>
    </w:lvl>
    <w:lvl w:ilvl="3">
      <w:start w:val="1"/>
      <w:numFmt w:val="decimal"/>
      <w:lvlText w:val="%1.%2.%3.%4."/>
      <w:lvlJc w:val="left"/>
      <w:pPr>
        <w:ind w:left="1811" w:hanging="851"/>
      </w:pPr>
      <w:rPr>
        <w:rFonts w:hint="eastAsia"/>
      </w:rPr>
    </w:lvl>
    <w:lvl w:ilvl="4">
      <w:start w:val="1"/>
      <w:numFmt w:val="decimal"/>
      <w:lvlText w:val="%1.%2.%3.%4.%5."/>
      <w:lvlJc w:val="left"/>
      <w:pPr>
        <w:ind w:left="2192" w:hanging="992"/>
      </w:pPr>
      <w:rPr>
        <w:rFonts w:hint="eastAsia"/>
      </w:r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2582910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99"/>
    <w:rsid w:val="00031B84"/>
    <w:rsid w:val="000350A7"/>
    <w:rsid w:val="000768AC"/>
    <w:rsid w:val="0008496E"/>
    <w:rsid w:val="000931E0"/>
    <w:rsid w:val="000F019F"/>
    <w:rsid w:val="00107EA4"/>
    <w:rsid w:val="00136B27"/>
    <w:rsid w:val="0015794E"/>
    <w:rsid w:val="00186092"/>
    <w:rsid w:val="001E1E1B"/>
    <w:rsid w:val="001F033B"/>
    <w:rsid w:val="00230794"/>
    <w:rsid w:val="00246416"/>
    <w:rsid w:val="00247779"/>
    <w:rsid w:val="002F7793"/>
    <w:rsid w:val="00335171"/>
    <w:rsid w:val="00361D46"/>
    <w:rsid w:val="003723E3"/>
    <w:rsid w:val="00377E39"/>
    <w:rsid w:val="00397648"/>
    <w:rsid w:val="0041765E"/>
    <w:rsid w:val="00444AEB"/>
    <w:rsid w:val="004A3F65"/>
    <w:rsid w:val="004B0884"/>
    <w:rsid w:val="004B5963"/>
    <w:rsid w:val="00556772"/>
    <w:rsid w:val="0059484A"/>
    <w:rsid w:val="005B57D2"/>
    <w:rsid w:val="005D2D68"/>
    <w:rsid w:val="005F7DBD"/>
    <w:rsid w:val="00624873"/>
    <w:rsid w:val="006510E4"/>
    <w:rsid w:val="006D53ED"/>
    <w:rsid w:val="00702E30"/>
    <w:rsid w:val="0072571A"/>
    <w:rsid w:val="007905BD"/>
    <w:rsid w:val="007B06BC"/>
    <w:rsid w:val="007F5826"/>
    <w:rsid w:val="00814DD6"/>
    <w:rsid w:val="008623C4"/>
    <w:rsid w:val="009218D4"/>
    <w:rsid w:val="009375E5"/>
    <w:rsid w:val="00944199"/>
    <w:rsid w:val="009B3906"/>
    <w:rsid w:val="009C6E7A"/>
    <w:rsid w:val="009D6FC8"/>
    <w:rsid w:val="009F2C78"/>
    <w:rsid w:val="00A2747B"/>
    <w:rsid w:val="00A66E5E"/>
    <w:rsid w:val="00AA7480"/>
    <w:rsid w:val="00AB626F"/>
    <w:rsid w:val="00AB7137"/>
    <w:rsid w:val="00AF211C"/>
    <w:rsid w:val="00B13E97"/>
    <w:rsid w:val="00B5105F"/>
    <w:rsid w:val="00B869B4"/>
    <w:rsid w:val="00B87D99"/>
    <w:rsid w:val="00B9745F"/>
    <w:rsid w:val="00BF5021"/>
    <w:rsid w:val="00C24DBF"/>
    <w:rsid w:val="00C412CC"/>
    <w:rsid w:val="00C72854"/>
    <w:rsid w:val="00CC256E"/>
    <w:rsid w:val="00D63DF1"/>
    <w:rsid w:val="00D75F70"/>
    <w:rsid w:val="00DA3DF3"/>
    <w:rsid w:val="00DB31DF"/>
    <w:rsid w:val="00DD17BC"/>
    <w:rsid w:val="00DD6A2F"/>
    <w:rsid w:val="00EC73DC"/>
    <w:rsid w:val="00ED02CC"/>
    <w:rsid w:val="00F70A6F"/>
    <w:rsid w:val="00F733EA"/>
    <w:rsid w:val="00F83A3F"/>
    <w:rsid w:val="00FE53A1"/>
    <w:rsid w:val="00FE57D4"/>
    <w:rsid w:val="00FF26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802D0"/>
  <w15:chartTrackingRefBased/>
  <w15:docId w15:val="{91AB9BD7-2BD7-43B1-BFCB-729AE382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99"/>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樣式1"/>
    <w:uiPriority w:val="99"/>
    <w:rsid w:val="00B13E97"/>
    <w:pPr>
      <w:numPr>
        <w:numId w:val="1"/>
      </w:numPr>
    </w:pPr>
  </w:style>
  <w:style w:type="paragraph" w:styleId="Header">
    <w:name w:val="header"/>
    <w:basedOn w:val="Normal"/>
    <w:link w:val="HeaderChar"/>
    <w:uiPriority w:val="99"/>
    <w:unhideWhenUsed/>
    <w:rsid w:val="00EC73DC"/>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EC73DC"/>
    <w:rPr>
      <w:sz w:val="20"/>
      <w:szCs w:val="20"/>
    </w:rPr>
  </w:style>
  <w:style w:type="paragraph" w:styleId="Footer">
    <w:name w:val="footer"/>
    <w:basedOn w:val="Normal"/>
    <w:link w:val="FooterChar"/>
    <w:uiPriority w:val="99"/>
    <w:unhideWhenUsed/>
    <w:rsid w:val="00EC73DC"/>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EC73DC"/>
    <w:rPr>
      <w:sz w:val="20"/>
      <w:szCs w:val="20"/>
    </w:rPr>
  </w:style>
  <w:style w:type="paragraph" w:styleId="BalloonText">
    <w:name w:val="Balloon Text"/>
    <w:basedOn w:val="Normal"/>
    <w:link w:val="BalloonTextChar"/>
    <w:uiPriority w:val="99"/>
    <w:semiHidden/>
    <w:unhideWhenUsed/>
    <w:rsid w:val="001E1E1B"/>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E1E1B"/>
    <w:rPr>
      <w:rFonts w:asciiTheme="majorHAnsi" w:eastAsiaTheme="majorEastAsia" w:hAnsiTheme="majorHAnsi" w:cstheme="majorBidi"/>
      <w:sz w:val="18"/>
      <w:szCs w:val="18"/>
    </w:rPr>
  </w:style>
  <w:style w:type="paragraph" w:styleId="Revision">
    <w:name w:val="Revision"/>
    <w:hidden/>
    <w:uiPriority w:val="99"/>
    <w:semiHidden/>
    <w:rsid w:val="009D6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yuankai</dc:creator>
  <cp:keywords/>
  <dc:description/>
  <cp:lastModifiedBy>江皓森 Chiang, Hao-S</cp:lastModifiedBy>
  <cp:revision>2</cp:revision>
  <dcterms:created xsi:type="dcterms:W3CDTF">2026-08-28T09:39:00Z</dcterms:created>
  <dcterms:modified xsi:type="dcterms:W3CDTF">2026-08-28T09:39:00Z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05b633fa-e4b0-4af3-9f70-dd593ec9dce3</vt:lpwstr>
  </property>
</Properties>
</file>