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4D208">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eastAsiaTheme="minorEastAsia"/>
          <w:sz w:val="22"/>
          <w:szCs w:val="22"/>
        </w:rPr>
      </w:pPr>
      <w:r>
        <w:rPr>
          <w:rFonts w:hint="default" w:ascii="Times New Roman" w:hAnsi="Times New Roman" w:cs="Times New Roman" w:eastAsiaTheme="minorEastAsia"/>
          <w:sz w:val="22"/>
          <w:szCs w:val="22"/>
          <w:lang w:val="en-US" w:eastAsia="zh-CN"/>
        </w:rPr>
        <w:t>1.</w:t>
      </w:r>
      <w:r>
        <w:rPr>
          <w:rFonts w:hint="default" w:ascii="Times New Roman" w:hAnsi="Times New Roman" w:cs="Times New Roman" w:eastAsiaTheme="minorEastAsia"/>
          <w:sz w:val="22"/>
          <w:szCs w:val="22"/>
        </w:rPr>
        <w:t xml:space="preserve">Collection of </w:t>
      </w:r>
      <w:r>
        <w:rPr>
          <w:rFonts w:hint="default" w:ascii="Times New Roman" w:hAnsi="Times New Roman" w:cs="Times New Roman"/>
          <w:sz w:val="22"/>
          <w:szCs w:val="22"/>
        </w:rPr>
        <w:t>irisin</w:t>
      </w:r>
      <w:r>
        <w:rPr>
          <w:rFonts w:hint="default" w:ascii="Times New Roman" w:hAnsi="Times New Roman" w:cs="Times New Roman" w:eastAsiaTheme="minorEastAsia"/>
          <w:sz w:val="22"/>
          <w:szCs w:val="22"/>
        </w:rPr>
        <w:t xml:space="preserve"> and HCC related targets</w:t>
      </w:r>
    </w:p>
    <w:p w14:paraId="6BCE04B2">
      <w:pPr>
        <w:keepNext w:val="0"/>
        <w:keepLines w:val="0"/>
        <w:pageBreakBefore w:val="0"/>
        <w:widowControl w:val="0"/>
        <w:kinsoku w:val="0"/>
        <w:wordWrap w:val="0"/>
        <w:overflowPunct/>
        <w:topLinePunct w:val="0"/>
        <w:autoSpaceDE/>
        <w:autoSpaceDN/>
        <w:bidi w:val="0"/>
        <w:adjustRightInd/>
        <w:snapToGrid/>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Human target genes potentially modulated by irisin were retrieved from the </w:t>
      </w:r>
    </w:p>
    <w:p w14:paraId="351F87DB">
      <w:pPr>
        <w:keepNext w:val="0"/>
        <w:keepLines w:val="0"/>
        <w:pageBreakBefore w:val="0"/>
        <w:widowControl w:val="0"/>
        <w:kinsoku w:val="0"/>
        <w:wordWrap w:val="0"/>
        <w:overflowPunct/>
        <w:topLinePunct w:val="0"/>
        <w:autoSpaceDE/>
        <w:autoSpaceDN/>
        <w:bidi w:val="0"/>
        <w:adjustRightInd/>
        <w:snapToGrid/>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SwissTargetPrediction database(</w:t>
      </w:r>
      <w:r>
        <w:rPr>
          <w:rFonts w:hint="default" w:ascii="Times New Roman" w:hAnsi="Times New Roman" w:cs="Times New Roman"/>
          <w:b w:val="0"/>
          <w:bCs w:val="0"/>
          <w:sz w:val="20"/>
          <w:szCs w:val="20"/>
          <w:lang w:val="en-US" w:eastAsia="zh-CN"/>
        </w:rPr>
        <w:fldChar w:fldCharType="begin"/>
      </w:r>
      <w:r>
        <w:rPr>
          <w:rFonts w:hint="default" w:ascii="Times New Roman" w:hAnsi="Times New Roman" w:cs="Times New Roman"/>
          <w:b w:val="0"/>
          <w:bCs w:val="0"/>
          <w:sz w:val="20"/>
          <w:szCs w:val="20"/>
          <w:lang w:val="en-US" w:eastAsia="zh-CN"/>
        </w:rPr>
        <w:instrText xml:space="preserve"> HYPERLINK "https://www.swisstargetprediction.ch/result.php?job=312428778&amp;organism=Homo_sapiens" </w:instrText>
      </w:r>
      <w:r>
        <w:rPr>
          <w:rFonts w:hint="default" w:ascii="Times New Roman" w:hAnsi="Times New Roman" w:cs="Times New Roman"/>
          <w:b w:val="0"/>
          <w:bCs w:val="0"/>
          <w:sz w:val="20"/>
          <w:szCs w:val="20"/>
          <w:lang w:val="en-US" w:eastAsia="zh-CN"/>
        </w:rPr>
        <w:fldChar w:fldCharType="separate"/>
      </w:r>
      <w:r>
        <w:rPr>
          <w:rFonts w:hint="default" w:ascii="Times New Roman" w:hAnsi="Times New Roman" w:cs="Times New Roman"/>
          <w:b w:val="0"/>
          <w:bCs w:val="0"/>
          <w:sz w:val="20"/>
          <w:szCs w:val="20"/>
          <w:lang w:val="en-US" w:eastAsia="zh-CN"/>
        </w:rPr>
        <w:t>https://www.swisstargetprediction.ch/result.php?job=312428778&amp;organism=Homo_sapiens</w:t>
      </w:r>
      <w:r>
        <w:rPr>
          <w:rFonts w:hint="default" w:ascii="Times New Roman" w:hAnsi="Times New Roman" w:cs="Times New Roman"/>
          <w:b w:val="0"/>
          <w:bCs w:val="0"/>
          <w:sz w:val="20"/>
          <w:szCs w:val="20"/>
          <w:lang w:val="en-US" w:eastAsia="zh-CN"/>
        </w:rPr>
        <w:fldChar w:fldCharType="end"/>
      </w:r>
      <w:r>
        <w:rPr>
          <w:rFonts w:hint="default" w:ascii="Times New Roman" w:hAnsi="Times New Roman" w:cs="Times New Roman"/>
          <w:b w:val="0"/>
          <w:bCs w:val="0"/>
          <w:sz w:val="20"/>
          <w:szCs w:val="20"/>
        </w:rPr>
        <w:t>),ChEMBL</w:t>
      </w:r>
      <w:r>
        <w:rPr>
          <w:rFonts w:hint="default"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database(</w:t>
      </w:r>
      <w:r>
        <w:rPr>
          <w:rFonts w:hint="default" w:ascii="Times New Roman" w:hAnsi="Times New Roman" w:cs="Times New Roman"/>
          <w:b w:val="0"/>
          <w:bCs w:val="0"/>
          <w:sz w:val="20"/>
          <w:szCs w:val="20"/>
          <w:lang w:val="en-US" w:eastAsia="zh-CN"/>
        </w:rPr>
        <w:fldChar w:fldCharType="begin"/>
      </w:r>
      <w:r>
        <w:rPr>
          <w:rFonts w:hint="default" w:ascii="Times New Roman" w:hAnsi="Times New Roman" w:cs="Times New Roman"/>
          <w:b w:val="0"/>
          <w:bCs w:val="0"/>
          <w:sz w:val="20"/>
          <w:szCs w:val="20"/>
          <w:lang w:val="en-US" w:eastAsia="zh-CN"/>
        </w:rPr>
        <w:instrText xml:space="preserve"> HYPERLINK "https://www.ebi.ac.uk/chembl/search_results/Iridin/STATE_ID:HpUErR6IymUZXbkiFKKBtQ==?focusEntity=targets" </w:instrText>
      </w:r>
      <w:r>
        <w:rPr>
          <w:rFonts w:hint="default" w:ascii="Times New Roman" w:hAnsi="Times New Roman" w:cs="Times New Roman"/>
          <w:b w:val="0"/>
          <w:bCs w:val="0"/>
          <w:sz w:val="20"/>
          <w:szCs w:val="20"/>
          <w:lang w:val="en-US" w:eastAsia="zh-CN"/>
        </w:rPr>
        <w:fldChar w:fldCharType="separate"/>
      </w:r>
      <w:r>
        <w:rPr>
          <w:rFonts w:hint="default" w:ascii="Times New Roman" w:hAnsi="Times New Roman" w:cs="Times New Roman"/>
          <w:b w:val="0"/>
          <w:bCs w:val="0"/>
          <w:sz w:val="20"/>
          <w:szCs w:val="20"/>
          <w:lang w:val="en-US" w:eastAsia="zh-CN"/>
        </w:rPr>
        <w:t>https://www.ebi.ac.uk/chembl/search_results/Iridin/STATE_ID:HpUErR6IymUZXbkiFKKBtQ==?focusEntity=targets</w:t>
      </w:r>
      <w:r>
        <w:rPr>
          <w:rFonts w:hint="default" w:ascii="Times New Roman" w:hAnsi="Times New Roman" w:cs="Times New Roman"/>
          <w:b w:val="0"/>
          <w:bCs w:val="0"/>
          <w:sz w:val="20"/>
          <w:szCs w:val="20"/>
          <w:lang w:val="en-US" w:eastAsia="zh-CN"/>
        </w:rPr>
        <w:fldChar w:fldCharType="end"/>
      </w:r>
      <w:r>
        <w:rPr>
          <w:rFonts w:hint="default" w:ascii="Times New Roman" w:hAnsi="Times New Roman" w:cs="Times New Roman"/>
          <w:b w:val="0"/>
          <w:bCs w:val="0"/>
          <w:sz w:val="20"/>
          <w:szCs w:val="20"/>
        </w:rPr>
        <w:t>),and STITCH database (</w:t>
      </w:r>
      <w:r>
        <w:rPr>
          <w:rFonts w:hint="default" w:ascii="Times New Roman" w:hAnsi="Times New Roman" w:cs="Times New Roman"/>
          <w:b w:val="0"/>
          <w:bCs w:val="0"/>
          <w:sz w:val="20"/>
          <w:szCs w:val="20"/>
        </w:rPr>
        <w:fldChar w:fldCharType="begin"/>
      </w:r>
      <w:r>
        <w:rPr>
          <w:rFonts w:hint="default" w:ascii="Times New Roman" w:hAnsi="Times New Roman" w:cs="Times New Roman"/>
          <w:b w:val="0"/>
          <w:bCs w:val="0"/>
          <w:sz w:val="20"/>
          <w:szCs w:val="20"/>
        </w:rPr>
        <w:instrText xml:space="preserve"> HYPERLINK "http://stitch-db.org/cgi/network.pl?taskId=CpZhkktHYtZT" </w:instrText>
      </w:r>
      <w:r>
        <w:rPr>
          <w:rFonts w:hint="default" w:ascii="Times New Roman" w:hAnsi="Times New Roman" w:cs="Times New Roman"/>
          <w:b w:val="0"/>
          <w:bCs w:val="0"/>
          <w:sz w:val="20"/>
          <w:szCs w:val="20"/>
        </w:rPr>
        <w:fldChar w:fldCharType="separate"/>
      </w:r>
      <w:r>
        <w:rPr>
          <w:rFonts w:hint="default" w:ascii="Times New Roman" w:hAnsi="Times New Roman" w:cs="Times New Roman"/>
          <w:b w:val="0"/>
          <w:bCs w:val="0"/>
          <w:sz w:val="20"/>
          <w:szCs w:val="20"/>
        </w:rPr>
        <w:t>http://stitch-db.org/cgi/network.pl?taskId=CpZhkktHYtZT</w:t>
      </w:r>
      <w:r>
        <w:rPr>
          <w:rFonts w:hint="default" w:ascii="Times New Roman" w:hAnsi="Times New Roman" w:cs="Times New Roman"/>
          <w:b w:val="0"/>
          <w:bCs w:val="0"/>
          <w:sz w:val="20"/>
          <w:szCs w:val="20"/>
        </w:rPr>
        <w:fldChar w:fldCharType="end"/>
      </w:r>
      <w:r>
        <w:rPr>
          <w:rFonts w:hint="default" w:ascii="Times New Roman" w:hAnsi="Times New Roman" w:cs="Times New Roman"/>
          <w:b w:val="0"/>
          <w:bCs w:val="0"/>
          <w:sz w:val="20"/>
          <w:szCs w:val="20"/>
        </w:rPr>
        <w:t xml:space="preserve">). The union of "CHEMBL gene", "STITCH gene" and "Swiss gene" was taken to obtain "irisin compound gene".HCC-associated genes were curated </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from the GeneCards database (</w:t>
      </w:r>
      <w:r>
        <w:rPr>
          <w:rFonts w:hint="default" w:ascii="Times New Roman" w:hAnsi="Times New Roman" w:cs="Times New Roman"/>
          <w:b w:val="0"/>
          <w:bCs w:val="0"/>
          <w:sz w:val="20"/>
          <w:szCs w:val="20"/>
        </w:rPr>
        <w:fldChar w:fldCharType="begin"/>
      </w:r>
      <w:r>
        <w:rPr>
          <w:rFonts w:hint="default" w:ascii="Times New Roman" w:hAnsi="Times New Roman" w:cs="Times New Roman"/>
          <w:b w:val="0"/>
          <w:bCs w:val="0"/>
          <w:sz w:val="20"/>
          <w:szCs w:val="20"/>
        </w:rPr>
        <w:instrText xml:space="preserve"> HYPERLINK "https://www.genecards.org/search/results?q=Liver%20Cancer" </w:instrText>
      </w:r>
      <w:r>
        <w:rPr>
          <w:rFonts w:hint="default" w:ascii="Times New Roman" w:hAnsi="Times New Roman" w:cs="Times New Roman"/>
          <w:b w:val="0"/>
          <w:bCs w:val="0"/>
          <w:sz w:val="20"/>
          <w:szCs w:val="20"/>
        </w:rPr>
        <w:fldChar w:fldCharType="separate"/>
      </w:r>
      <w:r>
        <w:rPr>
          <w:rFonts w:hint="default" w:ascii="Times New Roman" w:hAnsi="Times New Roman" w:cs="Times New Roman"/>
          <w:b w:val="0"/>
          <w:bCs w:val="0"/>
          <w:sz w:val="20"/>
          <w:szCs w:val="20"/>
        </w:rPr>
        <w:t>https://www.genecards.org/search/results?q=Liver%20Cancer</w:t>
      </w:r>
      <w:r>
        <w:rPr>
          <w:rFonts w:hint="default" w:ascii="Times New Roman" w:hAnsi="Times New Roman" w:cs="Times New Roman"/>
          <w:b w:val="0"/>
          <w:bCs w:val="0"/>
          <w:sz w:val="20"/>
          <w:szCs w:val="20"/>
        </w:rPr>
        <w:fldChar w:fldCharType="end"/>
      </w:r>
      <w:r>
        <w:rPr>
          <w:rFonts w:hint="default" w:ascii="Times New Roman" w:hAnsi="Times New Roman" w:cs="Times New Roman"/>
          <w:b w:val="0"/>
          <w:bCs w:val="0"/>
          <w:sz w:val="20"/>
          <w:szCs w:val="20"/>
        </w:rPr>
        <w:t>) and OMIM database (</w:t>
      </w:r>
      <w:r>
        <w:rPr>
          <w:rFonts w:hint="default" w:ascii="Times New Roman" w:hAnsi="Times New Roman" w:cs="Times New Roman"/>
          <w:b w:val="0"/>
          <w:bCs w:val="0"/>
          <w:sz w:val="20"/>
          <w:szCs w:val="20"/>
        </w:rPr>
        <w:fldChar w:fldCharType="begin"/>
      </w:r>
      <w:r>
        <w:rPr>
          <w:rFonts w:hint="default" w:ascii="Times New Roman" w:hAnsi="Times New Roman" w:cs="Times New Roman"/>
          <w:b w:val="0"/>
          <w:bCs w:val="0"/>
          <w:sz w:val="20"/>
          <w:szCs w:val="20"/>
        </w:rPr>
        <w:instrText xml:space="preserve"> HYPERLINK "https://omim.org/search?index=geneMap&amp;sort=chromosome_number+asc%2C+chromosome_sort+asc&amp;search=liver+cancer&amp;limit=10" </w:instrText>
      </w:r>
      <w:r>
        <w:rPr>
          <w:rFonts w:hint="default" w:ascii="Times New Roman" w:hAnsi="Times New Roman" w:cs="Times New Roman"/>
          <w:b w:val="0"/>
          <w:bCs w:val="0"/>
          <w:sz w:val="20"/>
          <w:szCs w:val="20"/>
        </w:rPr>
        <w:fldChar w:fldCharType="separate"/>
      </w:r>
      <w:r>
        <w:rPr>
          <w:rFonts w:hint="default" w:ascii="Times New Roman" w:hAnsi="Times New Roman" w:cs="Times New Roman"/>
          <w:b w:val="0"/>
          <w:bCs w:val="0"/>
          <w:sz w:val="20"/>
          <w:szCs w:val="20"/>
        </w:rPr>
        <w:t>https://omim.org/search?index=geneMap&amp;sort=chromosome_number+asc%2C+chromosome_sort+asc&amp;search=liver+cancer&amp;limit=10</w:t>
      </w:r>
      <w:r>
        <w:rPr>
          <w:rFonts w:hint="default" w:ascii="Times New Roman" w:hAnsi="Times New Roman" w:cs="Times New Roman"/>
          <w:b w:val="0"/>
          <w:bCs w:val="0"/>
          <w:sz w:val="20"/>
          <w:szCs w:val="20"/>
        </w:rPr>
        <w:fldChar w:fldCharType="end"/>
      </w:r>
      <w:r>
        <w:rPr>
          <w:rFonts w:hint="default" w:ascii="Times New Roman" w:hAnsi="Times New Roman" w:cs="Times New Roman"/>
          <w:b w:val="0"/>
          <w:bCs w:val="0"/>
          <w:sz w:val="20"/>
          <w:szCs w:val="20"/>
        </w:rPr>
        <w:t xml:space="preserve">) with the search term liver cancer. The two </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 xml:space="preserve">gene datasets were then merged, subjected to duplicate removal.We obtained the dataset </w:t>
      </w:r>
    </w:p>
    <w:p w14:paraId="6FADA07B">
      <w:pPr>
        <w:keepNext w:val="0"/>
        <w:keepLines w:val="0"/>
        <w:pageBreakBefore w:val="0"/>
        <w:widowControl w:val="0"/>
        <w:kinsoku w:val="0"/>
        <w:wordWrap w:val="0"/>
        <w:overflowPunct/>
        <w:topLinePunct w:val="0"/>
        <w:autoSpaceDE/>
        <w:autoSpaceDN/>
        <w:bidi w:val="0"/>
        <w:adjustRightInd/>
        <w:snapToGrid/>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"Disease gene" by calculating the union of "GeneCards_Gene" and "OMIM gene".</w:t>
      </w:r>
    </w:p>
    <w:p w14:paraId="6F1AA918">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eastAsiaTheme="minorEastAsia"/>
          <w:sz w:val="22"/>
          <w:szCs w:val="22"/>
        </w:rPr>
      </w:pPr>
      <w:r>
        <w:rPr>
          <w:rFonts w:hint="default" w:ascii="Times New Roman" w:hAnsi="Times New Roman" w:cs="Times New Roman" w:eastAsiaTheme="minorEastAsia"/>
          <w:sz w:val="22"/>
          <w:szCs w:val="22"/>
          <w:lang w:val="en-US" w:eastAsia="zh-CN"/>
        </w:rPr>
        <w:t>2.</w:t>
      </w:r>
      <w:r>
        <w:rPr>
          <w:rFonts w:hint="default" w:ascii="Times New Roman" w:hAnsi="Times New Roman" w:cs="Times New Roman" w:eastAsiaTheme="minorEastAsia"/>
          <w:sz w:val="22"/>
          <w:szCs w:val="22"/>
        </w:rPr>
        <w:t xml:space="preserve">Downloading and Analyzing LIHC-Related Data in the TCGA Database </w:t>
      </w:r>
    </w:p>
    <w:p w14:paraId="4E24828D">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RNA sequencing (RNA-seq) data of the liver hepatocellular carcinoma (LIHC) cohort were retrieved from The Cancer Genome Atlas (</w:t>
      </w:r>
      <w:r>
        <w:rPr>
          <w:rFonts w:hint="default" w:ascii="Times New Roman" w:hAnsi="Times New Roman" w:cs="Times New Roman"/>
          <w:b w:val="0"/>
          <w:bCs w:val="0"/>
          <w:sz w:val="20"/>
          <w:szCs w:val="20"/>
        </w:rPr>
        <w:fldChar w:fldCharType="begin"/>
      </w:r>
      <w:r>
        <w:rPr>
          <w:rFonts w:hint="default" w:ascii="Times New Roman" w:hAnsi="Times New Roman" w:cs="Times New Roman"/>
          <w:b w:val="0"/>
          <w:bCs w:val="0"/>
          <w:sz w:val="20"/>
          <w:szCs w:val="20"/>
        </w:rPr>
        <w:instrText xml:space="preserve"> HYPERLINK "https://portal.gdc.cancer.gov/analysis_page?app=Downloads" </w:instrText>
      </w:r>
      <w:r>
        <w:rPr>
          <w:rFonts w:hint="default" w:ascii="Times New Roman" w:hAnsi="Times New Roman" w:cs="Times New Roman"/>
          <w:b w:val="0"/>
          <w:bCs w:val="0"/>
          <w:sz w:val="20"/>
          <w:szCs w:val="20"/>
        </w:rPr>
        <w:fldChar w:fldCharType="separate"/>
      </w:r>
      <w:r>
        <w:rPr>
          <w:rFonts w:hint="default" w:ascii="Times New Roman" w:hAnsi="Times New Roman" w:cs="Times New Roman"/>
          <w:b w:val="0"/>
          <w:bCs w:val="0"/>
          <w:sz w:val="20"/>
          <w:szCs w:val="20"/>
        </w:rPr>
        <w:t>TCGA) database</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(https://portal.gdc.cancer.gov/analysis_page?app=Downloads</w:t>
      </w:r>
      <w:r>
        <w:rPr>
          <w:rFonts w:hint="default" w:ascii="Times New Roman" w:hAnsi="Times New Roman" w:cs="Times New Roman"/>
          <w:b w:val="0"/>
          <w:bCs w:val="0"/>
          <w:sz w:val="20"/>
          <w:szCs w:val="20"/>
        </w:rPr>
        <w:fldChar w:fldCharType="end"/>
      </w:r>
      <w:r>
        <w:rPr>
          <w:rFonts w:hint="default" w:ascii="Times New Roman" w:hAnsi="Times New Roman" w:cs="Times New Roman"/>
          <w:b w:val="0"/>
          <w:bCs w:val="0"/>
          <w:sz w:val="20"/>
          <w:szCs w:val="20"/>
        </w:rPr>
        <w:t xml:space="preserve">). Raw data processing entailed the extraction of normalized gene expression profiles and matched clinical phenotypic information. For subsequent bioinformatic analysis, only samples annotated as Primary Tumor and Solid Tissue Normal were screened and retained.The file </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UCSC gene symbol</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 xml:space="preserve"> was downloaded and processed from the </w:t>
      </w:r>
      <w:bookmarkStart w:id="0" w:name="_GoBack"/>
      <w:bookmarkEnd w:id="0"/>
      <w:r>
        <w:rPr>
          <w:rFonts w:hint="default" w:ascii="Times New Roman" w:hAnsi="Times New Roman" w:cs="Times New Roman"/>
          <w:b w:val="0"/>
          <w:bCs w:val="0"/>
          <w:sz w:val="20"/>
          <w:szCs w:val="20"/>
        </w:rPr>
        <w:t>UCSC database</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fldChar w:fldCharType="begin"/>
      </w:r>
      <w:r>
        <w:rPr>
          <w:rFonts w:hint="default" w:ascii="Times New Roman" w:hAnsi="Times New Roman" w:cs="Times New Roman"/>
          <w:b w:val="0"/>
          <w:bCs w:val="0"/>
          <w:sz w:val="20"/>
          <w:szCs w:val="20"/>
          <w:lang w:val="en-US" w:eastAsia="zh-CN"/>
        </w:rPr>
        <w:instrText xml:space="preserve"> HYPERLINK "https://xenabrowser.net/datapages/?cohort=GDC%20TCGA%20Liver%20Cancer%20(LIHC)" </w:instrText>
      </w:r>
      <w:r>
        <w:rPr>
          <w:rFonts w:hint="default" w:ascii="Times New Roman" w:hAnsi="Times New Roman" w:cs="Times New Roman"/>
          <w:b w:val="0"/>
          <w:bCs w:val="0"/>
          <w:sz w:val="20"/>
          <w:szCs w:val="20"/>
          <w:lang w:val="en-US" w:eastAsia="zh-CN"/>
        </w:rPr>
        <w:fldChar w:fldCharType="separate"/>
      </w:r>
      <w:r>
        <w:rPr>
          <w:rFonts w:hint="default" w:ascii="Times New Roman" w:hAnsi="Times New Roman" w:cs="Times New Roman"/>
          <w:b w:val="0"/>
          <w:bCs w:val="0"/>
          <w:sz w:val="20"/>
          <w:szCs w:val="20"/>
          <w:lang w:val="en-US" w:eastAsia="zh-CN"/>
        </w:rPr>
        <w:t>https://xenabrowser.net/datapages/?cohort=GDC%20TCGA%20Liver%20Cancer%20(LIHC)</w:t>
      </w:r>
      <w:r>
        <w:rPr>
          <w:rFonts w:hint="default" w:ascii="Times New Roman" w:hAnsi="Times New Roman" w:cs="Times New Roman"/>
          <w:b w:val="0"/>
          <w:bCs w:val="0"/>
          <w:sz w:val="20"/>
          <w:szCs w:val="20"/>
          <w:lang w:val="en-US" w:eastAsia="zh-CN"/>
        </w:rPr>
        <w:fldChar w:fldCharType="end"/>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The fourth segment in the first row of data contains codes "11" and "01", which correspond to normal tissue group and tumor tissue group respectively, and the first column records gene symbols.Genes annotated as lncRNA and mRNA were extracted into two separate files named </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lncRNA</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and </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mRNA</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based on </w:t>
      </w:r>
      <w:r>
        <w:rPr>
          <w:rFonts w:hint="default" w:ascii="Times New Roman" w:hAnsi="Times New Roman" w:cs="Times New Roman"/>
          <w:b w:val="0"/>
          <w:bCs w:val="0"/>
          <w:sz w:val="20"/>
          <w:szCs w:val="20"/>
          <w:lang w:val="en-US" w:eastAsia="zh-CN"/>
        </w:rPr>
        <w:t>t</w:t>
      </w:r>
      <w:r>
        <w:rPr>
          <w:rFonts w:hint="default" w:ascii="Times New Roman" w:hAnsi="Times New Roman" w:cs="Times New Roman"/>
          <w:b w:val="0"/>
          <w:bCs w:val="0"/>
          <w:sz w:val="20"/>
          <w:szCs w:val="20"/>
        </w:rPr>
        <w:t>he file</w:t>
      </w:r>
      <w:r>
        <w:rPr>
          <w:rFonts w:hint="default"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UCSC gene symbol</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 xml:space="preserve">. Differentially expressed significant genes were extracted from the mRNA matrix to generate the file </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LIHC-Related Data in the TCGA Database</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The first column corresponds to gene symbols, the fourth column records log2 fold change (logFC), the fifth column presents raw P-values, and the sixth column shows adjusted P-values. The seventh column contains classification labels, where "Downregulated" and "Upregulated" denote decreased and increased gene expression levels, respectively.We downloaded clinical data of liver hepatocellular carcinoma (LIHC) from The Cancer Genome Atlas (TCGA) database and organized the dataset into a matrix file </w:t>
      </w:r>
      <w:r>
        <w:rPr>
          <w:rFonts w:hint="default" w:ascii="Times New Roman" w:hAnsi="Times New Roman" w:cs="Times New Roman"/>
          <w:b w:val="0"/>
          <w:bCs w:val="0"/>
          <w:sz w:val="20"/>
          <w:szCs w:val="20"/>
          <w:lang w:eastAsia="zh-CN"/>
        </w:rPr>
        <w:t>“TCGA，clinical”</w:t>
      </w:r>
      <w:r>
        <w:rPr>
          <w:rFonts w:hint="default" w:ascii="Times New Roman" w:hAnsi="Times New Roman" w:cs="Times New Roman"/>
          <w:b w:val="0"/>
          <w:bCs w:val="0"/>
          <w:sz w:val="20"/>
          <w:szCs w:val="20"/>
        </w:rPr>
        <w:t>. The first column records sample identifiers, the second column corresponds to survival time, the third column indicates survival status, the fourth column represents patient age, and the fifth column shows patient gender. Columns 6 to 10 contain variables associated with cancer TNM staging, and the eleventh column stores patient racial information.Differential expression analysis was conducted using the DESeq2 R package, with differentially expressed genes (DEGs) identified by the cutoff criteria of adjusted P-value &lt; 0.05 and |log₂FoldChange| &gt; 1.</w:t>
      </w:r>
    </w:p>
    <w:p w14:paraId="53E5D560">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eastAsiaTheme="minorEastAsia"/>
          <w:sz w:val="22"/>
          <w:szCs w:val="22"/>
        </w:rPr>
      </w:pPr>
      <w:r>
        <w:rPr>
          <w:rFonts w:hint="default" w:ascii="Times New Roman" w:hAnsi="Times New Roman" w:cs="Times New Roman" w:eastAsiaTheme="minorEastAsia"/>
          <w:sz w:val="22"/>
          <w:szCs w:val="22"/>
          <w:lang w:val="en-US" w:eastAsia="zh-CN"/>
        </w:rPr>
        <w:t>3.</w:t>
      </w:r>
      <w:r>
        <w:rPr>
          <w:rFonts w:hint="default" w:ascii="Times New Roman" w:hAnsi="Times New Roman" w:cs="Times New Roman" w:eastAsiaTheme="minorEastAsia"/>
          <w:sz w:val="22"/>
          <w:szCs w:val="22"/>
        </w:rPr>
        <w:t>Building the PPI Network</w:t>
      </w:r>
    </w:p>
    <w:p w14:paraId="46951D54">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Hub genes for PPI analysis were identified by intersecting "LIHC-Related Data in the TCGA Database", "irisin compound gene" and "Disease gene" with the R package "venn 交集".</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IntersectionGenes</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 xml:space="preserve"> was generated by extracting common genes from the Disease gene file, irisin compound gene file and LIHC-Related Data in the TCGA Database file.PPI analysis was performed on the overlapping genes </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IntersectionGenes</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among irisin target genes, HCC-associated genes and LIHC-related genes via the STRING database (</w:t>
      </w:r>
      <w:r>
        <w:rPr>
          <w:rFonts w:hint="default" w:ascii="Times New Roman" w:hAnsi="Times New Roman" w:cs="Times New Roman"/>
          <w:b w:val="0"/>
          <w:bCs w:val="0"/>
          <w:sz w:val="20"/>
          <w:szCs w:val="20"/>
        </w:rPr>
        <w:fldChar w:fldCharType="begin"/>
      </w:r>
      <w:r>
        <w:rPr>
          <w:rFonts w:hint="default" w:ascii="Times New Roman" w:hAnsi="Times New Roman" w:cs="Times New Roman"/>
          <w:b w:val="0"/>
          <w:bCs w:val="0"/>
          <w:sz w:val="20"/>
          <w:szCs w:val="20"/>
        </w:rPr>
        <w:instrText xml:space="preserve"> HYPERLINK "https://string-db.org/cgi/network?taskId=bYbbkj0Vj6EF&amp;sessionId=bfqgO1xfDN02" </w:instrText>
      </w:r>
      <w:r>
        <w:rPr>
          <w:rFonts w:hint="default" w:ascii="Times New Roman" w:hAnsi="Times New Roman" w:cs="Times New Roman"/>
          <w:b w:val="0"/>
          <w:bCs w:val="0"/>
          <w:sz w:val="20"/>
          <w:szCs w:val="20"/>
        </w:rPr>
        <w:fldChar w:fldCharType="separate"/>
      </w:r>
      <w:r>
        <w:rPr>
          <w:rFonts w:hint="default" w:ascii="Times New Roman" w:hAnsi="Times New Roman" w:cs="Times New Roman"/>
          <w:b w:val="0"/>
          <w:bCs w:val="0"/>
          <w:sz w:val="20"/>
          <w:szCs w:val="20"/>
        </w:rPr>
        <w:t>https://string-db.org/cgi/network?taskId=bYbbkj0Vj6EF&amp;sessionId=bfqgO1xfDN02</w:t>
      </w:r>
      <w:r>
        <w:rPr>
          <w:rFonts w:hint="default" w:ascii="Times New Roman" w:hAnsi="Times New Roman" w:cs="Times New Roman"/>
          <w:b w:val="0"/>
          <w:bCs w:val="0"/>
          <w:sz w:val="20"/>
          <w:szCs w:val="20"/>
        </w:rPr>
        <w:fldChar w:fldCharType="end"/>
      </w:r>
      <w:r>
        <w:rPr>
          <w:rFonts w:hint="default" w:ascii="Times New Roman" w:hAnsi="Times New Roman" w:cs="Times New Roman"/>
          <w:b w:val="0"/>
          <w:bCs w:val="0"/>
          <w:sz w:val="20"/>
          <w:szCs w:val="20"/>
        </w:rPr>
        <w:t xml:space="preserve">), with the species parameter set to Homo sapiens.A medium confidence threshold with an interaction score &gt; 0.4 was adopted for screening valid protein interactions. The STRING-derived interaction data were subsequently imported into Cytoscape software (version 3.10.1) to assess the topological characteristics of the PPI network.The output file was designated </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string_interactions_short</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 xml:space="preserve">, and the visualized network graph was saved as </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image1</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w:t>
      </w:r>
    </w:p>
    <w:p w14:paraId="7AA9C49E">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eastAsiaTheme="minorEastAsia"/>
          <w:sz w:val="22"/>
          <w:szCs w:val="22"/>
        </w:rPr>
      </w:pPr>
      <w:r>
        <w:rPr>
          <w:rFonts w:hint="default" w:ascii="Times New Roman" w:hAnsi="Times New Roman" w:cs="Times New Roman" w:eastAsiaTheme="minorEastAsia"/>
          <w:sz w:val="22"/>
          <w:szCs w:val="22"/>
          <w:lang w:val="en-US" w:eastAsia="zh-CN"/>
        </w:rPr>
        <w:t>4.</w:t>
      </w:r>
      <w:r>
        <w:rPr>
          <w:rFonts w:hint="default" w:ascii="Times New Roman" w:hAnsi="Times New Roman" w:cs="Times New Roman" w:eastAsiaTheme="minorEastAsia"/>
          <w:sz w:val="22"/>
          <w:szCs w:val="22"/>
        </w:rPr>
        <w:t>Hub Gene Identification Based on the PPI Network</w:t>
      </w:r>
    </w:p>
    <w:p w14:paraId="585E4A22">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In Cytoscape software (version 3.10.4), the MCODE plugin was employed to identify the most critical module within the constructed PPI network. Additionally, the cytoHubba plugin was utilized to calculate the "node scores" through five distinct algorithms, including Degree, Betweenness, Closeness, MNC, and Radiality. For each algorithm, the top </w:t>
      </w:r>
      <w:r>
        <w:rPr>
          <w:rFonts w:hint="default" w:ascii="Times New Roman" w:hAnsi="Times New Roman" w:cs="Times New Roman"/>
          <w:b w:val="0"/>
          <w:bCs w:val="0"/>
          <w:sz w:val="20"/>
          <w:szCs w:val="20"/>
          <w:lang w:val="en-US" w:eastAsia="zh-CN"/>
        </w:rPr>
        <w:t>9</w:t>
      </w:r>
      <w:r>
        <w:rPr>
          <w:rFonts w:hint="default" w:ascii="Times New Roman" w:hAnsi="Times New Roman" w:cs="Times New Roman"/>
          <w:b w:val="0"/>
          <w:bCs w:val="0"/>
          <w:sz w:val="20"/>
          <w:szCs w:val="20"/>
        </w:rPr>
        <w:t xml:space="preserve"> genes with the highest scores were designated as key genes. Subsequently, intersection analysis was performed on the key genes identified by these five algorithms, and the genes present in all intersections were defined as "hub genes."The output file was named </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hub_gene</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 xml:space="preserve">, whose first column records gene symbols.File </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TopGenes_ByMethod</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 xml:space="preserve"> contains the ranking outcomes generated by five calculation methods.</w:t>
      </w:r>
    </w:p>
    <w:p w14:paraId="7551519E">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eastAsiaTheme="minorEastAsia"/>
          <w:sz w:val="22"/>
          <w:szCs w:val="22"/>
        </w:rPr>
      </w:pPr>
      <w:r>
        <w:rPr>
          <w:rFonts w:hint="default" w:ascii="Times New Roman" w:hAnsi="Times New Roman" w:cs="Times New Roman" w:eastAsiaTheme="minorEastAsia"/>
          <w:sz w:val="22"/>
          <w:szCs w:val="22"/>
          <w:lang w:val="en-US" w:eastAsia="zh-CN"/>
        </w:rPr>
        <w:t>5.</w:t>
      </w:r>
      <w:r>
        <w:rPr>
          <w:rFonts w:hint="default" w:ascii="Times New Roman" w:hAnsi="Times New Roman" w:cs="Times New Roman" w:eastAsiaTheme="minorEastAsia"/>
          <w:sz w:val="22"/>
          <w:szCs w:val="22"/>
        </w:rPr>
        <w:t>Construction of the Irisin Action Model in HCC Patients</w:t>
      </w:r>
    </w:p>
    <w:p w14:paraId="7F1D886E">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rPr>
        <w:t>For the construction of the irisin action model in HCC patients, the expression data of hub genes and relevant clinical information were retrieved from the TCGA database. Initially, multivariate Cox regression analysis was carried out on the selected hub genes. Afterwards, the risk score was computed according to the coefficients and expression levels of these hub genes. Carry out COX regression analysis based on the "UCSC gene symbol", "hub_gene" and "TCGA clinical" files to obtain the "significantCoxResults" file</w:t>
      </w:r>
      <w:r>
        <w:rPr>
          <w:rFonts w:hint="default" w:ascii="Times New Roman" w:hAnsi="Times New Roman" w:cs="Times New Roman"/>
          <w:b w:val="0"/>
          <w:bCs w:val="0"/>
          <w:sz w:val="20"/>
          <w:szCs w:val="20"/>
          <w:lang w:val="en-US" w:eastAsia="zh-CN"/>
        </w:rPr>
        <w:t xml:space="preserve"> and “merged_data”file</w:t>
      </w:r>
      <w:r>
        <w:rPr>
          <w:rFonts w:hint="default" w:ascii="Times New Roman" w:hAnsi="Times New Roman" w:cs="Times New Roman"/>
          <w:b w:val="0"/>
          <w:bCs w:val="0"/>
          <w:sz w:val="20"/>
          <w:szCs w:val="20"/>
        </w:rPr>
        <w:t>, as well as the "boxplot_output" file containing box plots of expression levels for the nine hub genes.The first column of the "merged_data" file is the TCGA sample ID. The second column represents survival time; the values 0 and 1 in the third column correspond to alive and deceased patient status, respectively; columns 4 to 11 contain expression data of prognostic genes. Additionally, multivariate Cox regression analysis was conducted to verify whether the risk score could serve as an independent prognostic factor for HCC patients.Univariate Cox regression analysis was performed to calculate the P-values of the nine hub genes. The top eight genes with the smallest P-values were screened out, and a prognostic model was constructed using the "merged_data" file. Two output files, namely "multi_cox_forest_ggforest" and "multiCox", were generated. The forest plot of multivariate Cox regression (file multi_cox_forest_ggforest) yielded a global P</w:t>
      </w:r>
      <w:r>
        <w:rPr>
          <w:rFonts w:hint="default" w:ascii="Times New Roman" w:hAnsi="Times New Roman" w:cs="Times New Roman"/>
          <w:b w:val="0"/>
          <w:bCs w:val="0"/>
          <w:sz w:val="20"/>
          <w:szCs w:val="20"/>
        </w:rPr>
        <w:noBreakHyphen/>
      </w:r>
      <w:r>
        <w:rPr>
          <w:rFonts w:hint="default" w:ascii="Times New Roman" w:hAnsi="Times New Roman" w:cs="Times New Roman"/>
          <w:b w:val="0"/>
          <w:bCs w:val="0"/>
          <w:sz w:val="20"/>
          <w:szCs w:val="20"/>
        </w:rPr>
        <w:t>value of 0.006915, demonstrating that the whole</w:t>
      </w:r>
      <w:r>
        <w:rPr>
          <w:rFonts w:hint="default" w:ascii="Times New Roman" w:hAnsi="Times New Roman" w:cs="Times New Roman"/>
          <w:b w:val="0"/>
          <w:bCs w:val="0"/>
          <w:sz w:val="20"/>
          <w:szCs w:val="20"/>
        </w:rPr>
        <w:noBreakHyphen/>
      </w:r>
      <w:r>
        <w:rPr>
          <w:rFonts w:hint="default" w:ascii="Times New Roman" w:hAnsi="Times New Roman" w:cs="Times New Roman"/>
          <w:b w:val="0"/>
          <w:bCs w:val="0"/>
          <w:sz w:val="20"/>
          <w:szCs w:val="20"/>
        </w:rPr>
        <w:t>set gene model possessed statistical significance.The prognostic model file "risk" and the heatmap file were obtained.The first column of the "merged_data" file corresponds to the TCGA sample ID, the second column indicates survival time, and values 0 and 1 in the third column represent alive and deceased patient status, respectively. Columns 4 to 11 store the expression data of prognostic genes. The 12th column is the risk score, and the 13th column contains "high" and "low" to denote high-risk and low-risk subgroups.Risk score calculation formula is shown as follows: Risk Score = (0.528 × EZH2) + (0.269 × CDK1) + (0.133 × BIRC5) + (0.004 × RACGAP1) + (-0.026 × UBE2C) + (-0.178 × NEK2) + (-0.204 × AURKB) + (-0.126 × TYMS)</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The survminer package was utilized to identify the optimal cutoff value, which was then used to divide patientths into high-risk and low-risk cohorts, generating the output file "riskScore".To evaluate the prognostic value of the risk score, Kaplan–Meier curves combined with log-rank test were employed to compare e overall survival (OS) between the two risk groups, and the result file "survStat" was generated. The plotted Kaplan–Meier survival curves revealed that patients in the high-risk group exhibited markedly poorer overall survival than those in the low-risk group (p &lt; 0.001), and the corresponding result file "survival" was generated.Moreover, receiver operating characteristic (ROC) curve analysis was performed to gauge the predictive precision of the established risk model</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and the output file "ROC" was generated.Univariate and multivariate independent prognostic analyses were conducted based on the "TCGA clinical" file and the "risk" file, and the output file "independent_forest_plot" </w:t>
      </w:r>
      <w:r>
        <w:rPr>
          <w:rFonts w:hint="default" w:ascii="Times New Roman" w:hAnsi="Times New Roman" w:cs="Times New Roman"/>
          <w:b w:val="0"/>
          <w:bCs w:val="0"/>
          <w:sz w:val="20"/>
          <w:szCs w:val="20"/>
          <w:lang w:val="en-US" w:eastAsia="zh-CN"/>
        </w:rPr>
        <w:t xml:space="preserve">and </w:t>
      </w:r>
      <w:r>
        <w:rPr>
          <w:rFonts w:hint="default" w:ascii="Times New Roman" w:hAnsi="Times New Roman" w:cs="Times New Roman"/>
          <w:b w:val="0"/>
          <w:bCs w:val="0"/>
          <w:sz w:val="20"/>
          <w:szCs w:val="20"/>
        </w:rPr>
        <w:t>"cox_regression_results"</w:t>
      </w:r>
      <w:r>
        <w:rPr>
          <w:rFonts w:hint="default"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w</w:t>
      </w:r>
      <w:r>
        <w:rPr>
          <w:rFonts w:hint="default" w:ascii="Times New Roman" w:hAnsi="Times New Roman" w:cs="Times New Roman"/>
          <w:b w:val="0"/>
          <w:bCs w:val="0"/>
          <w:sz w:val="20"/>
          <w:szCs w:val="20"/>
          <w:lang w:val="en-US" w:eastAsia="zh-CN"/>
        </w:rPr>
        <w:t>ere</w:t>
      </w:r>
      <w:r>
        <w:rPr>
          <w:rFonts w:hint="default" w:ascii="Times New Roman" w:hAnsi="Times New Roman" w:cs="Times New Roman"/>
          <w:b w:val="0"/>
          <w:bCs w:val="0"/>
          <w:sz w:val="20"/>
          <w:szCs w:val="20"/>
        </w:rPr>
        <w:t xml:space="preserve"> obtained.Multivariate Cox regression analysis (N=317, 116 events) was performed to identify independent prognostic predictors. After adjusting for age, gender, tumor grade and tumor stage, high risk_score (HR = 2.212, 95%CI:1.5079‑3.24, P &lt; 0.001) was identified as the only independent adverse prognostic factor."cox_regression_results"</w:t>
      </w:r>
      <w:r>
        <w:rPr>
          <w:rFonts w:hint="default" w:ascii="Times New Roman" w:hAnsi="Times New Roman" w:cs="Times New Roman"/>
          <w:b w:val="0"/>
          <w:bCs w:val="0"/>
          <w:sz w:val="20"/>
          <w:szCs w:val="20"/>
          <w:lang w:eastAsia="zh-CN"/>
        </w:rPr>
        <w:t>：</w:t>
      </w:r>
      <w:r>
        <w:rPr>
          <w:rFonts w:hint="default" w:ascii="Times New Roman" w:hAnsi="Times New Roman" w:cs="Times New Roman"/>
          <w:b w:val="0"/>
          <w:bCs w:val="0"/>
          <w:sz w:val="20"/>
          <w:szCs w:val="20"/>
        </w:rPr>
        <w:t>After adjustment for age, gender, tumor grade and tumor stage in the Cox regression model, only the high</w:t>
      </w:r>
      <w:r>
        <w:rPr>
          <w:rFonts w:hint="default" w:ascii="Times New Roman" w:hAnsi="Times New Roman" w:cs="Times New Roman"/>
          <w:b w:val="0"/>
          <w:bCs w:val="0"/>
          <w:sz w:val="20"/>
          <w:szCs w:val="20"/>
        </w:rPr>
        <w:noBreakHyphen/>
      </w:r>
      <w:r>
        <w:rPr>
          <w:rFonts w:hint="default" w:ascii="Times New Roman" w:hAnsi="Times New Roman" w:cs="Times New Roman"/>
          <w:b w:val="0"/>
          <w:bCs w:val="0"/>
          <w:sz w:val="20"/>
          <w:szCs w:val="20"/>
        </w:rPr>
        <w:t>risk score was an independent risk factor for the occurrence of the event.</w:t>
      </w:r>
    </w:p>
    <w:p w14:paraId="2B07D0C2">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eastAsiaTheme="minorEastAsia"/>
          <w:sz w:val="22"/>
          <w:szCs w:val="22"/>
        </w:rPr>
      </w:pPr>
      <w:r>
        <w:rPr>
          <w:rFonts w:hint="default" w:ascii="Times New Roman" w:hAnsi="Times New Roman" w:cs="Times New Roman" w:eastAsiaTheme="minorEastAsia"/>
          <w:sz w:val="22"/>
          <w:szCs w:val="22"/>
          <w:lang w:val="en-US" w:eastAsia="zh-CN"/>
        </w:rPr>
        <w:t>6.</w:t>
      </w:r>
      <w:r>
        <w:rPr>
          <w:rFonts w:hint="default" w:ascii="Times New Roman" w:hAnsi="Times New Roman" w:cs="Times New Roman" w:eastAsiaTheme="minorEastAsia"/>
          <w:sz w:val="22"/>
          <w:szCs w:val="22"/>
        </w:rPr>
        <w:t>Functional enrichment analysis for target genes</w:t>
      </w:r>
    </w:p>
    <w:p w14:paraId="6E92922B">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Enrichment analysis of potential genes and core genes was performed using the clusterProfiler package to explore DO terms, GO terms including Biological Process (BP), Cellular Component (CC), and Molecular Function (MF), as well as KEGG pathways.Additionally, the ReactomePA package was employed for Reactome pathway analysis. The Benjamini-Hochberg method was applied for multiple testing correction, and an adjusted P-value &lt; 0.05 was set as the threshold to identify significantly enriched terms or pathways.Functional enrichment analyses were performed based on the "risk" file, generating four result files named DO, GO, KEGG and Reactome, respectively.</w:t>
      </w:r>
    </w:p>
    <w:p w14:paraId="07FE5BE8">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eastAsiaTheme="minorEastAsia"/>
          <w:sz w:val="22"/>
          <w:szCs w:val="22"/>
        </w:rPr>
      </w:pPr>
      <w:r>
        <w:rPr>
          <w:rFonts w:hint="default" w:ascii="Times New Roman" w:hAnsi="Times New Roman" w:cs="Times New Roman" w:eastAsiaTheme="minorEastAsia"/>
          <w:sz w:val="22"/>
          <w:szCs w:val="22"/>
          <w:lang w:val="en-US" w:eastAsia="zh-CN"/>
        </w:rPr>
        <w:t>7.</w:t>
      </w:r>
      <w:r>
        <w:rPr>
          <w:rFonts w:hint="default" w:ascii="Times New Roman" w:hAnsi="Times New Roman" w:cs="Times New Roman" w:eastAsiaTheme="minorEastAsia"/>
          <w:sz w:val="22"/>
          <w:szCs w:val="22"/>
        </w:rPr>
        <w:t>Molecular docking validation</w:t>
      </w:r>
    </w:p>
    <w:p w14:paraId="7E5236FD">
      <w:pPr>
        <w:keepNext w:val="0"/>
        <w:keepLines w:val="0"/>
        <w:pageBreakBefore w:val="0"/>
        <w:widowControl w:val="0"/>
        <w:kinsoku w:val="0"/>
        <w:wordWrap/>
        <w:overflowPunct/>
        <w:topLinePunct w:val="0"/>
        <w:autoSpaceDE/>
        <w:autoSpaceDN w:val="0"/>
        <w:bidi w:val="0"/>
        <w:adjustRightInd/>
        <w:snapToGrid/>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To thoroughly investigate the intermolecular interactions between irisin and the hub proteins screened in this study, molecular docking analysis was performed. The EZH2 (UniProt ID: Q15910, </w:t>
      </w:r>
      <w:r>
        <w:rPr>
          <w:rFonts w:hint="default" w:ascii="Times New Roman" w:hAnsi="Times New Roman" w:cs="Times New Roman"/>
          <w:b w:val="0"/>
          <w:bCs w:val="0"/>
          <w:sz w:val="20"/>
          <w:szCs w:val="20"/>
        </w:rPr>
        <w:fldChar w:fldCharType="begin"/>
      </w:r>
      <w:r>
        <w:rPr>
          <w:rFonts w:hint="default" w:ascii="Times New Roman" w:hAnsi="Times New Roman" w:cs="Times New Roman"/>
          <w:b w:val="0"/>
          <w:bCs w:val="0"/>
          <w:sz w:val="20"/>
          <w:szCs w:val="20"/>
        </w:rPr>
        <w:instrText xml:space="preserve"> HYPERLINK "https://www.uniprot.org/uniprotkb?query=EZH2" </w:instrText>
      </w:r>
      <w:r>
        <w:rPr>
          <w:rFonts w:hint="default" w:ascii="Times New Roman" w:hAnsi="Times New Roman" w:cs="Times New Roman"/>
          <w:b w:val="0"/>
          <w:bCs w:val="0"/>
          <w:sz w:val="20"/>
          <w:szCs w:val="20"/>
        </w:rPr>
        <w:fldChar w:fldCharType="separate"/>
      </w:r>
      <w:r>
        <w:rPr>
          <w:rFonts w:hint="default" w:ascii="Times New Roman" w:hAnsi="Times New Roman" w:cs="Times New Roman"/>
          <w:b w:val="0"/>
          <w:bCs w:val="0"/>
          <w:sz w:val="20"/>
          <w:szCs w:val="20"/>
        </w:rPr>
        <w:t>https://www.uniprot.org/uniprotkb?query=EZH2</w:t>
      </w:r>
      <w:r>
        <w:rPr>
          <w:rFonts w:hint="default" w:ascii="Times New Roman" w:hAnsi="Times New Roman" w:cs="Times New Roman"/>
          <w:b w:val="0"/>
          <w:bCs w:val="0"/>
          <w:sz w:val="20"/>
          <w:szCs w:val="20"/>
        </w:rPr>
        <w:fldChar w:fldCharType="end"/>
      </w:r>
      <w:r>
        <w:rPr>
          <w:rFonts w:hint="default" w:ascii="Times New Roman" w:hAnsi="Times New Roman" w:cs="Times New Roman"/>
          <w:b w:val="0"/>
          <w:bCs w:val="0"/>
          <w:sz w:val="20"/>
          <w:szCs w:val="20"/>
        </w:rPr>
        <w:t>) was obtained from the UniProt database (</w:t>
      </w:r>
      <w:r>
        <w:rPr>
          <w:rFonts w:hint="default" w:ascii="Times New Roman" w:hAnsi="Times New Roman" w:cs="Times New Roman"/>
          <w:b w:val="0"/>
          <w:bCs w:val="0"/>
          <w:sz w:val="20"/>
          <w:szCs w:val="20"/>
        </w:rPr>
        <w:fldChar w:fldCharType="begin"/>
      </w:r>
      <w:r>
        <w:rPr>
          <w:rFonts w:hint="default" w:ascii="Times New Roman" w:hAnsi="Times New Roman" w:cs="Times New Roman"/>
          <w:b w:val="0"/>
          <w:bCs w:val="0"/>
          <w:sz w:val="20"/>
          <w:szCs w:val="20"/>
        </w:rPr>
        <w:instrText xml:space="preserve"> HYPERLINK "https://www.uniprot.org/" </w:instrText>
      </w:r>
      <w:r>
        <w:rPr>
          <w:rFonts w:hint="default" w:ascii="Times New Roman" w:hAnsi="Times New Roman" w:cs="Times New Roman"/>
          <w:b w:val="0"/>
          <w:bCs w:val="0"/>
          <w:sz w:val="20"/>
          <w:szCs w:val="20"/>
        </w:rPr>
        <w:fldChar w:fldCharType="separate"/>
      </w:r>
      <w:r>
        <w:rPr>
          <w:rFonts w:hint="default" w:ascii="Times New Roman" w:hAnsi="Times New Roman" w:cs="Times New Roman"/>
          <w:b w:val="0"/>
          <w:bCs w:val="0"/>
          <w:sz w:val="20"/>
          <w:szCs w:val="20"/>
        </w:rPr>
        <w:t>https://www.uniprot.org/</w:t>
      </w:r>
      <w:r>
        <w:rPr>
          <w:rFonts w:hint="default" w:ascii="Times New Roman" w:hAnsi="Times New Roman" w:cs="Times New Roman"/>
          <w:b w:val="0"/>
          <w:bCs w:val="0"/>
          <w:sz w:val="20"/>
          <w:szCs w:val="20"/>
        </w:rPr>
        <w:fldChar w:fldCharType="end"/>
      </w:r>
      <w:r>
        <w:rPr>
          <w:rFonts w:hint="default" w:ascii="Times New Roman" w:hAnsi="Times New Roman" w:cs="Times New Roman"/>
          <w:b w:val="0"/>
          <w:bCs w:val="0"/>
          <w:sz w:val="20"/>
          <w:szCs w:val="20"/>
        </w:rPr>
        <w:t>)</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The PDB file of EZH2</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fldChar w:fldCharType="begin"/>
      </w:r>
      <w:r>
        <w:rPr>
          <w:rFonts w:hint="default" w:ascii="Times New Roman" w:hAnsi="Times New Roman" w:cs="Times New Roman"/>
          <w:b w:val="0"/>
          <w:bCs w:val="0"/>
          <w:sz w:val="20"/>
          <w:szCs w:val="20"/>
          <w:lang w:val="en-US" w:eastAsia="zh-CN"/>
        </w:rPr>
        <w:instrText xml:space="preserve"> HYPERLINK "https://www.rcsb.org/structure/4MI0" </w:instrText>
      </w:r>
      <w:r>
        <w:rPr>
          <w:rFonts w:hint="default" w:ascii="Times New Roman" w:hAnsi="Times New Roman" w:cs="Times New Roman"/>
          <w:b w:val="0"/>
          <w:bCs w:val="0"/>
          <w:sz w:val="20"/>
          <w:szCs w:val="20"/>
          <w:lang w:val="en-US" w:eastAsia="zh-CN"/>
        </w:rPr>
        <w:fldChar w:fldCharType="separate"/>
      </w:r>
      <w:r>
        <w:rPr>
          <w:rFonts w:hint="default" w:ascii="Times New Roman" w:hAnsi="Times New Roman" w:cs="Times New Roman"/>
          <w:b w:val="0"/>
          <w:bCs w:val="0"/>
          <w:sz w:val="20"/>
          <w:szCs w:val="20"/>
          <w:lang w:val="en-US" w:eastAsia="zh-CN"/>
        </w:rPr>
        <w:t>https://www.rcsb.org/structure/4MI0</w:t>
      </w:r>
      <w:r>
        <w:rPr>
          <w:rFonts w:hint="default" w:ascii="Times New Roman" w:hAnsi="Times New Roman" w:cs="Times New Roman"/>
          <w:b w:val="0"/>
          <w:bCs w:val="0"/>
          <w:sz w:val="20"/>
          <w:szCs w:val="20"/>
          <w:lang w:val="en-US" w:eastAsia="zh-CN"/>
        </w:rPr>
        <w:fldChar w:fldCharType="end"/>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was acquired by searching its UniProt ID (Q15910) in the RCSB PDB database</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fldChar w:fldCharType="begin"/>
      </w:r>
      <w:r>
        <w:rPr>
          <w:rFonts w:hint="default" w:ascii="Times New Roman" w:hAnsi="Times New Roman" w:cs="Times New Roman"/>
          <w:b w:val="0"/>
          <w:bCs w:val="0"/>
          <w:sz w:val="20"/>
          <w:szCs w:val="20"/>
          <w:lang w:val="en-US" w:eastAsia="zh-CN"/>
        </w:rPr>
        <w:instrText xml:space="preserve"> HYPERLINK "https://www.rcsb.org/" </w:instrText>
      </w:r>
      <w:r>
        <w:rPr>
          <w:rFonts w:hint="default" w:ascii="Times New Roman" w:hAnsi="Times New Roman" w:cs="Times New Roman"/>
          <w:b w:val="0"/>
          <w:bCs w:val="0"/>
          <w:sz w:val="20"/>
          <w:szCs w:val="20"/>
          <w:lang w:val="en-US" w:eastAsia="zh-CN"/>
        </w:rPr>
        <w:fldChar w:fldCharType="separate"/>
      </w:r>
      <w:r>
        <w:rPr>
          <w:rFonts w:hint="default" w:ascii="Times New Roman" w:hAnsi="Times New Roman" w:cs="Times New Roman"/>
          <w:b w:val="0"/>
          <w:bCs w:val="0"/>
          <w:sz w:val="20"/>
          <w:szCs w:val="20"/>
          <w:lang w:val="en-US" w:eastAsia="zh-CN"/>
        </w:rPr>
        <w:t>https://www.rcsb.org/</w:t>
      </w:r>
      <w:r>
        <w:rPr>
          <w:rFonts w:hint="default" w:ascii="Times New Roman" w:hAnsi="Times New Roman" w:cs="Times New Roman"/>
          <w:b w:val="0"/>
          <w:bCs w:val="0"/>
          <w:sz w:val="20"/>
          <w:szCs w:val="20"/>
          <w:lang w:val="en-US" w:eastAsia="zh-CN"/>
        </w:rPr>
        <w:fldChar w:fldCharType="end"/>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.The 2D structure of irisin was downloaded from the PubChem database</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fldChar w:fldCharType="begin"/>
      </w:r>
      <w:r>
        <w:rPr>
          <w:rFonts w:hint="default" w:ascii="Times New Roman" w:hAnsi="Times New Roman" w:cs="Times New Roman"/>
          <w:b w:val="0"/>
          <w:bCs w:val="0"/>
          <w:sz w:val="20"/>
          <w:szCs w:val="20"/>
          <w:lang w:val="en-US" w:eastAsia="zh-CN"/>
        </w:rPr>
        <w:instrText xml:space="preserve"> HYPERLINK "https://pubchem.ncbi.nlm.nih.gov/compound/5281777" </w:instrText>
      </w:r>
      <w:r>
        <w:rPr>
          <w:rFonts w:hint="default" w:ascii="Times New Roman" w:hAnsi="Times New Roman" w:cs="Times New Roman"/>
          <w:b w:val="0"/>
          <w:bCs w:val="0"/>
          <w:sz w:val="20"/>
          <w:szCs w:val="20"/>
          <w:lang w:val="en-US" w:eastAsia="zh-CN"/>
        </w:rPr>
        <w:fldChar w:fldCharType="separate"/>
      </w:r>
      <w:r>
        <w:rPr>
          <w:rFonts w:hint="default" w:ascii="Times New Roman" w:hAnsi="Times New Roman" w:cs="Times New Roman"/>
          <w:b w:val="0"/>
          <w:bCs w:val="0"/>
          <w:sz w:val="20"/>
          <w:szCs w:val="20"/>
          <w:lang w:val="en-US" w:eastAsia="zh-CN"/>
        </w:rPr>
        <w:t>https://pubchem.ncbi.nlm.nih.gov/compound/5281777</w:t>
      </w:r>
      <w:r>
        <w:rPr>
          <w:rFonts w:hint="default" w:ascii="Times New Roman" w:hAnsi="Times New Roman" w:cs="Times New Roman"/>
          <w:b w:val="0"/>
          <w:bCs w:val="0"/>
          <w:sz w:val="20"/>
          <w:szCs w:val="20"/>
          <w:lang w:val="en-US" w:eastAsia="zh-CN"/>
        </w:rPr>
        <w:fldChar w:fldCharType="end"/>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.Molecular docking between the EZH2 PDB file and the 2D structure of irisin was performed using the CB-Dock2 web server</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fldChar w:fldCharType="begin"/>
      </w:r>
      <w:r>
        <w:rPr>
          <w:rFonts w:hint="default" w:ascii="Times New Roman" w:hAnsi="Times New Roman" w:cs="Times New Roman"/>
          <w:b w:val="0"/>
          <w:bCs w:val="0"/>
          <w:sz w:val="20"/>
          <w:szCs w:val="20"/>
          <w:lang w:val="en-US" w:eastAsia="zh-CN"/>
        </w:rPr>
        <w:instrText xml:space="preserve"> HYPERLINK "https://cadd.labshare.cn/cb-dock2/index.php" </w:instrText>
      </w:r>
      <w:r>
        <w:rPr>
          <w:rFonts w:hint="default" w:ascii="Times New Roman" w:hAnsi="Times New Roman" w:cs="Times New Roman"/>
          <w:b w:val="0"/>
          <w:bCs w:val="0"/>
          <w:sz w:val="20"/>
          <w:szCs w:val="20"/>
          <w:lang w:val="en-US" w:eastAsia="zh-CN"/>
        </w:rPr>
        <w:fldChar w:fldCharType="separate"/>
      </w:r>
      <w:r>
        <w:rPr>
          <w:rFonts w:hint="default" w:ascii="Times New Roman" w:hAnsi="Times New Roman" w:cs="Times New Roman"/>
          <w:b w:val="0"/>
          <w:bCs w:val="0"/>
          <w:sz w:val="20"/>
          <w:szCs w:val="20"/>
          <w:lang w:val="en-US" w:eastAsia="zh-CN"/>
        </w:rPr>
        <w:t>https://cadd.labshare.cn/cb-dock2/index.php</w:t>
      </w:r>
      <w:r>
        <w:rPr>
          <w:rFonts w:hint="default" w:ascii="Times New Roman" w:hAnsi="Times New Roman" w:cs="Times New Roman"/>
          <w:b w:val="0"/>
          <w:bCs w:val="0"/>
          <w:sz w:val="20"/>
          <w:szCs w:val="20"/>
          <w:lang w:val="en-US" w:eastAsia="zh-CN"/>
        </w:rPr>
        <w:fldChar w:fldCharType="end"/>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to obtain visualized results</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fldChar w:fldCharType="begin"/>
      </w:r>
      <w:r>
        <w:rPr>
          <w:rFonts w:hint="default" w:ascii="Times New Roman" w:hAnsi="Times New Roman" w:cs="Times New Roman"/>
          <w:b w:val="0"/>
          <w:bCs w:val="0"/>
          <w:sz w:val="20"/>
          <w:szCs w:val="20"/>
          <w:lang w:val="en-US" w:eastAsia="zh-CN"/>
        </w:rPr>
        <w:instrText xml:space="preserve"> HYPERLINK "http://183.56.231.194:8001/cb-dock2/php/show_auto_blinddock.php?user=guest&amp;id=0912ab1751d0c161531d47186687d488&amp;token=1788951860600" </w:instrText>
      </w:r>
      <w:r>
        <w:rPr>
          <w:rFonts w:hint="default" w:ascii="Times New Roman" w:hAnsi="Times New Roman" w:cs="Times New Roman"/>
          <w:b w:val="0"/>
          <w:bCs w:val="0"/>
          <w:sz w:val="20"/>
          <w:szCs w:val="20"/>
          <w:lang w:val="en-US" w:eastAsia="zh-CN"/>
        </w:rPr>
        <w:fldChar w:fldCharType="separate"/>
      </w:r>
      <w:r>
        <w:rPr>
          <w:rFonts w:hint="default" w:ascii="Times New Roman" w:hAnsi="Times New Roman" w:cs="Times New Roman"/>
          <w:b w:val="0"/>
          <w:bCs w:val="0"/>
          <w:sz w:val="20"/>
          <w:szCs w:val="20"/>
          <w:lang w:val="en-US" w:eastAsia="zh-CN"/>
        </w:rPr>
        <w:t>http://183.56.231.194:8001/cb-dock2/php/show_auto_blinddock.php?user=guest&amp;id=0912ab1751d0c161531d47186687d488&amp;token=1788951860600</w:t>
      </w:r>
      <w:r>
        <w:rPr>
          <w:rFonts w:hint="default" w:ascii="Times New Roman" w:hAnsi="Times New Roman" w:cs="Times New Roman"/>
          <w:b w:val="0"/>
          <w:bCs w:val="0"/>
          <w:sz w:val="20"/>
          <w:szCs w:val="20"/>
          <w:lang w:val="en-US" w:eastAsia="zh-CN"/>
        </w:rPr>
        <w:fldChar w:fldCharType="end"/>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.Visualization of the </w:t>
      </w:r>
      <w:r>
        <w:rPr>
          <w:rFonts w:hint="default" w:ascii="Times New Roman" w:hAnsi="Times New Roman" w:cs="Times New Roman"/>
          <w:b w:val="0"/>
          <w:bCs w:val="0"/>
          <w:sz w:val="20"/>
          <w:szCs w:val="20"/>
          <w:lang w:val="en-US" w:eastAsia="zh-CN"/>
        </w:rPr>
        <w:t>hub</w:t>
      </w:r>
      <w:r>
        <w:rPr>
          <w:rFonts w:hint="default" w:ascii="Times New Roman" w:hAnsi="Times New Roman" w:cs="Times New Roman"/>
          <w:b w:val="0"/>
          <w:bCs w:val="0"/>
          <w:sz w:val="20"/>
          <w:szCs w:val="20"/>
        </w:rPr>
        <w:t xml:space="preserve"> genes with irisin was performed following the same procedure described above.</w:t>
      </w:r>
      <w:r>
        <w:rPr>
          <w:rFonts w:hint="default" w:ascii="Times New Roman" w:hAnsi="Times New Roman" w:cs="Times New Roman"/>
          <w:b w:val="0"/>
          <w:bCs w:val="0"/>
          <w:sz w:val="20"/>
          <w:szCs w:val="20"/>
        </w:rPr>
        <w:t>We obtained the docking score file "docking_score" for the binding of each hub protein to the compound, as well as the binding energy gradient bar chart file named "Binding_Energy_BarplotGradient".The structures of these proteins were predicted using AlphaFold 3. The results were subsequently visualized with PyMOL for interpretation. The following protein-ligand interactions were identified via PLIP.In addition, visualization files named "molecular_docking_visualization" that display the binding conformation of each hub protein and the compound were generated.</w:t>
      </w:r>
    </w:p>
    <w:p w14:paraId="30B30955">
      <w:pPr>
        <w:keepNext w:val="0"/>
        <w:keepLines w:val="0"/>
        <w:pageBreakBefore w:val="0"/>
        <w:widowControl w:val="0"/>
        <w:numPr>
          <w:ilvl w:val="0"/>
          <w:numId w:val="0"/>
        </w:numPr>
        <w:kinsoku w:val="0"/>
        <w:wordWrap/>
        <w:overflowPunct/>
        <w:topLinePunct w:val="0"/>
        <w:autoSpaceDE/>
        <w:bidi w:val="0"/>
        <w:adjustRightInd/>
        <w:snapToGrid/>
        <w:jc w:val="left"/>
        <w:textAlignment w:val="auto"/>
        <w:rPr>
          <w:rFonts w:hint="default" w:ascii="Times New Roman" w:hAnsi="Times New Roman" w:cs="Times New Roman"/>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B620D3"/>
    <w:rsid w:val="38392C84"/>
    <w:rsid w:val="450B288E"/>
    <w:rsid w:val="488975B0"/>
    <w:rsid w:val="4AA86018"/>
    <w:rsid w:val="4D903A7B"/>
    <w:rsid w:val="50040CA9"/>
    <w:rsid w:val="64202EC6"/>
    <w:rsid w:val="696A53A3"/>
    <w:rsid w:val="72066B39"/>
    <w:rsid w:val="760263EE"/>
    <w:rsid w:val="777479F3"/>
    <w:rsid w:val="77E65994"/>
    <w:rsid w:val="7AF5703A"/>
    <w:rsid w:val="7ED62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kinsoku w:val="0"/>
      <w:spacing w:line="360" w:lineRule="auto"/>
      <w:jc w:val="both"/>
    </w:pPr>
    <w:rPr>
      <w:rFonts w:eastAsia="宋体" w:asciiTheme="majorHAnsi" w:hAnsiTheme="majorHAnsi" w:cstheme="majorHAnsi"/>
      <w:b/>
      <w:bCs/>
      <w:kern w:val="2"/>
      <w:sz w:val="24"/>
      <w:szCs w:val="24"/>
      <w:shd w:val="clear" w:color="auto" w:fill="FFFFFF"/>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FollowedHyperlink"/>
    <w:basedOn w:val="3"/>
    <w:uiPriority w:val="0"/>
    <w:rPr>
      <w:color w:val="800080"/>
      <w:u w:val="single"/>
    </w:rPr>
  </w:style>
  <w:style w:type="character" w:styleId="6">
    <w:name w:val="Hyperlink"/>
    <w:basedOn w:val="3"/>
    <w:uiPriority w:val="0"/>
    <w:rPr>
      <w:color w:val="0000FF"/>
      <w:u w:val="single"/>
    </w:rPr>
  </w:style>
  <w:style w:type="character" w:styleId="7">
    <w:name w:val="HTML Code"/>
    <w:basedOn w:val="3"/>
    <w:qFormat/>
    <w:uiPriority w:val="0"/>
    <w:rPr>
      <w:rFonts w:ascii="Courier New" w:hAnsi="Courier New"/>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1450</Words>
  <Characters>8802</Characters>
  <Lines>0</Lines>
  <Paragraphs>0</Paragraphs>
  <TotalTime>49</TotalTime>
  <ScaleCrop>false</ScaleCrop>
  <LinksUpToDate>false</LinksUpToDate>
  <CharactersWithSpaces>10205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2026-07-03T00:13:00Z</dcterms:created>
  <dc:creator>LENOVO</dc:creator>
  <cp:lastModifiedBy>程婷</cp:lastModifiedBy>
  <dcterms:modified xsi:type="dcterms:W3CDTF">2026-09-09T11:27:32Z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eyJoZGlkIjoiMDg5Y2FkZGY5OTFjNzBlYjViNTc3YWIyMDM3YzkxNWIiLCJ1c2VySWQiOiIxODg5NTE0Nzg3In0=</vt:lpwstr>
  </property>
  <property fmtid="{D5CDD505-2E9C-101B-9397-08002B2CF9AE}" pid="4" name="ICV">
    <vt:lpwstr>727C873E5909433EB27C6C3544C58DF5_12</vt:lpwstr>
  </property>
</Properties>
</file>