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5DA20">
      <w:pPr>
        <w:jc w:val="center"/>
        <w:rPr>
          <w:rFonts w:hint="default" w:ascii="Times New Roman Bold" w:hAnsi="Times New Roman Bold" w:cs="Times New Roman Bold"/>
          <w:b/>
          <w:bCs w:val="0"/>
          <w:kern w:val="0"/>
          <w:sz w:val="20"/>
          <w:szCs w:val="20"/>
        </w:rPr>
      </w:pPr>
      <w:r>
        <w:rPr>
          <w:rFonts w:hint="default" w:ascii="Times New Roman Bold" w:hAnsi="Times New Roman Bold" w:cs="Times New Roman Bold"/>
          <w:b/>
          <w:bCs w:val="0"/>
          <w:kern w:val="0"/>
          <w:sz w:val="20"/>
          <w:szCs w:val="20"/>
        </w:rPr>
        <w:t>Supplementary</w:t>
      </w:r>
      <w:r>
        <w:rPr>
          <w:rFonts w:hint="eastAsia" w:ascii="Times New Roman Bold" w:hAnsi="Times New Roman Bold" w:cs="Times New Roman Bold"/>
          <w:b/>
          <w:bCs w:val="0"/>
          <w:kern w:val="0"/>
          <w:sz w:val="20"/>
          <w:szCs w:val="20"/>
          <w:lang w:val="en-US" w:eastAsia="zh-CN"/>
        </w:rPr>
        <w:t xml:space="preserve"> </w:t>
      </w:r>
      <w:r>
        <w:rPr>
          <w:rFonts w:hint="default" w:ascii="Times New Roman Bold" w:hAnsi="Times New Roman Bold" w:cs="Times New Roman Bold"/>
          <w:b/>
          <w:bCs w:val="0"/>
          <w:kern w:val="0"/>
          <w:sz w:val="20"/>
          <w:szCs w:val="20"/>
        </w:rPr>
        <w:t>Figure Captions</w:t>
      </w:r>
    </w:p>
    <w:p w14:paraId="3D75CE73">
      <w:pPr>
        <w:spacing w:line="360" w:lineRule="auto"/>
        <w:jc w:val="both"/>
        <w:rPr>
          <w:rFonts w:hint="default" w:ascii="Times New Roman" w:hAnsi="Times New Roman" w:cs="Times New Roman" w:eastAsiaTheme="minorEastAsia"/>
          <w:b w:val="0"/>
          <w:bCs w:val="0"/>
          <w:snapToGrid/>
          <w:color w:val="auto"/>
          <w:kern w:val="2"/>
          <w:sz w:val="18"/>
          <w:szCs w:val="18"/>
          <w:lang w:val="en-US" w:eastAsia="zh-CN" w:bidi="en-US"/>
          <w14:ligatures w14:val="standardContextual"/>
        </w:rPr>
      </w:pPr>
      <w:r>
        <w:rPr>
          <w:rFonts w:hint="default" w:ascii="Times New Roman" w:hAnsi="Times New Roman" w:cs="Times New Roman" w:eastAsiaTheme="minorEastAsia"/>
          <w:b/>
          <w:bCs/>
          <w:snapToGrid/>
          <w:color w:val="auto"/>
          <w:kern w:val="2"/>
          <w:sz w:val="18"/>
          <w:szCs w:val="18"/>
          <w:lang w:val="en-US" w:eastAsia="zh-CN" w:bidi="en-US"/>
          <w14:ligatures w14:val="standardContextual"/>
        </w:rPr>
        <w:t>Fig</w:t>
      </w:r>
      <w:r>
        <w:rPr>
          <w:rFonts w:hint="default" w:ascii="Times New Roman" w:hAnsi="Times New Roman" w:cs="Times New Roman"/>
          <w:b/>
          <w:bCs/>
          <w:snapToGrid/>
          <w:color w:val="auto"/>
          <w:kern w:val="2"/>
          <w:sz w:val="18"/>
          <w:szCs w:val="18"/>
          <w:lang w:val="en-US" w:eastAsia="zh-CN" w:bidi="en-US"/>
          <w14:ligatures w14:val="standardContextual"/>
        </w:rPr>
        <w:t>.S</w:t>
      </w:r>
      <w:r>
        <w:rPr>
          <w:rFonts w:hint="eastAsia" w:ascii="Times New Roman" w:hAnsi="Times New Roman" w:cs="Times New Roman"/>
          <w:b/>
          <w:bCs/>
          <w:snapToGrid/>
          <w:color w:val="auto"/>
          <w:kern w:val="2"/>
          <w:sz w:val="18"/>
          <w:szCs w:val="18"/>
          <w:lang w:val="en-US" w:eastAsia="zh-CN" w:bidi="en-US"/>
          <w14:ligatures w14:val="standardContextual"/>
        </w:rPr>
        <w:t xml:space="preserve">1 </w:t>
      </w:r>
      <w:r>
        <w:rPr>
          <w:rFonts w:hint="eastAsia" w:ascii="Times New Roman" w:hAnsi="Times New Roman" w:cs="Times New Roman"/>
          <w:b w:val="0"/>
          <w:bCs w:val="0"/>
          <w:snapToGrid/>
          <w:color w:val="auto"/>
          <w:kern w:val="2"/>
          <w:sz w:val="18"/>
          <w:szCs w:val="18"/>
          <w:lang w:val="en-US" w:eastAsia="zh-CN" w:bidi="en-US"/>
          <w14:ligatures w14:val="standardContextual"/>
        </w:rPr>
        <w:t>Stepwise NaCl addition schedule for gradient salt stress induction. To avoid acute salt shock to sunflower seedlings, salinity was raised by 50 mM NaCl every day over 6 days.</w:t>
      </w:r>
    </w:p>
    <w:p w14:paraId="13AA4BA1">
      <w:pPr>
        <w:spacing w:line="360" w:lineRule="auto"/>
        <w:jc w:val="center"/>
        <w:rPr>
          <w:rFonts w:hint="eastAsia" w:ascii="Times New Roman" w:hAnsi="Times New Roman" w:cs="Times New Roman" w:eastAsiaTheme="minorEastAsia"/>
          <w:b w:val="0"/>
          <w:bCs w:val="0"/>
          <w:snapToGrid/>
          <w:color w:val="auto"/>
          <w:kern w:val="2"/>
          <w:sz w:val="18"/>
          <w:szCs w:val="18"/>
          <w:lang w:val="en-US" w:eastAsia="zh-CN" w:bidi="en-US"/>
          <w14:ligatures w14:val="standardContextual"/>
        </w:rPr>
      </w:pPr>
      <w:r>
        <w:rPr>
          <w:rFonts w:hint="eastAsia" w:ascii="Times New Roman" w:hAnsi="Times New Roman" w:cs="Times New Roman" w:eastAsiaTheme="minorEastAsia"/>
          <w:b w:val="0"/>
          <w:bCs w:val="0"/>
          <w:snapToGrid/>
          <w:color w:val="auto"/>
          <w:kern w:val="2"/>
          <w:sz w:val="18"/>
          <w:szCs w:val="18"/>
          <w:lang w:val="en-US" w:eastAsia="zh-CN" w:bidi="en-US"/>
          <w14:ligatures w14:val="standardContextual"/>
        </w:rPr>
        <w:drawing>
          <wp:inline distT="0" distB="0" distL="114300" distR="114300">
            <wp:extent cx="4319270" cy="3239770"/>
            <wp:effectExtent l="0" t="0" r="5080" b="8255"/>
            <wp:docPr id="2" name="图片 2" descr="图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S1"/>
                    <pic:cNvPicPr>
                      <a:picLocks noChangeAspect="1"/>
                    </pic:cNvPicPr>
                  </pic:nvPicPr>
                  <pic:blipFill>
                    <a:blip r:embed="rId6"/>
                    <a:stretch>
                      <a:fillRect/>
                    </a:stretch>
                  </pic:blipFill>
                  <pic:spPr>
                    <a:xfrm>
                      <a:off x="0" y="0"/>
                      <a:ext cx="4319270" cy="3239770"/>
                    </a:xfrm>
                    <a:prstGeom prst="rect">
                      <a:avLst/>
                    </a:prstGeom>
                  </pic:spPr>
                </pic:pic>
              </a:graphicData>
            </a:graphic>
          </wp:inline>
        </w:drawing>
      </w:r>
    </w:p>
    <w:p w14:paraId="727268E2">
      <w:pPr>
        <w:rPr>
          <w:rFonts w:hint="eastAsia" w:ascii="Times New Roman" w:hAnsi="Times New Roman" w:cs="Times New Roman" w:eastAsiaTheme="minorEastAsia"/>
          <w:b w:val="0"/>
          <w:bCs w:val="0"/>
          <w:snapToGrid/>
          <w:color w:val="auto"/>
          <w:kern w:val="2"/>
          <w:sz w:val="18"/>
          <w:szCs w:val="18"/>
          <w:lang w:val="en-US" w:eastAsia="zh-CN" w:bidi="en-US"/>
          <w14:ligatures w14:val="standardContextual"/>
        </w:rPr>
      </w:pPr>
      <w:r>
        <w:rPr>
          <w:rFonts w:hint="eastAsia" w:ascii="Times New Roman" w:hAnsi="Times New Roman" w:cs="Times New Roman" w:eastAsiaTheme="minorEastAsia"/>
          <w:b w:val="0"/>
          <w:bCs w:val="0"/>
          <w:snapToGrid/>
          <w:color w:val="auto"/>
          <w:kern w:val="2"/>
          <w:sz w:val="18"/>
          <w:szCs w:val="18"/>
          <w:lang w:val="en-US" w:eastAsia="zh-CN" w:bidi="en-US"/>
          <w14:ligatures w14:val="standardContextual"/>
        </w:rPr>
        <w:br w:type="page"/>
      </w:r>
    </w:p>
    <w:p w14:paraId="68AEAC54">
      <w:pPr>
        <w:spacing w:line="360" w:lineRule="auto"/>
        <w:jc w:val="both"/>
        <w:rPr>
          <w:rFonts w:hint="default" w:ascii="Times New Roman" w:hAnsi="Times New Roman" w:cs="Times New Roman" w:eastAsiaTheme="minorEastAsia"/>
          <w:b w:val="0"/>
          <w:bCs w:val="0"/>
          <w:snapToGrid/>
          <w:color w:val="auto"/>
          <w:kern w:val="2"/>
          <w:sz w:val="18"/>
          <w:szCs w:val="18"/>
          <w:lang w:val="en-US" w:eastAsia="zh-CN" w:bidi="en-US"/>
          <w14:ligatures w14:val="standardContextual"/>
        </w:rPr>
      </w:pPr>
      <w:r>
        <w:rPr>
          <w:rFonts w:hint="default" w:ascii="Times New Roman" w:hAnsi="Times New Roman" w:cs="Times New Roman" w:eastAsiaTheme="minorEastAsia"/>
          <w:b/>
          <w:bCs/>
          <w:snapToGrid/>
          <w:color w:val="auto"/>
          <w:kern w:val="2"/>
          <w:sz w:val="18"/>
          <w:szCs w:val="18"/>
          <w:lang w:val="en-US" w:eastAsia="zh-CN" w:bidi="en-US"/>
          <w14:ligatures w14:val="standardContextual"/>
        </w:rPr>
        <w:t>Fig</w:t>
      </w:r>
      <w:r>
        <w:rPr>
          <w:rFonts w:hint="default" w:ascii="Times New Roman" w:hAnsi="Times New Roman" w:cs="Times New Roman"/>
          <w:b/>
          <w:bCs/>
          <w:snapToGrid/>
          <w:color w:val="auto"/>
          <w:kern w:val="2"/>
          <w:sz w:val="18"/>
          <w:szCs w:val="18"/>
          <w:lang w:val="en-US" w:eastAsia="zh-CN" w:bidi="en-US"/>
          <w14:ligatures w14:val="standardContextual"/>
        </w:rPr>
        <w:t>.S</w:t>
      </w:r>
      <w:r>
        <w:rPr>
          <w:rFonts w:hint="eastAsia" w:ascii="Times New Roman" w:hAnsi="Times New Roman" w:cs="Times New Roman"/>
          <w:b/>
          <w:bCs/>
          <w:snapToGrid/>
          <w:color w:val="auto"/>
          <w:kern w:val="2"/>
          <w:sz w:val="18"/>
          <w:szCs w:val="18"/>
          <w:lang w:val="en-US" w:eastAsia="zh-CN" w:bidi="en-US"/>
          <w14:ligatures w14:val="standardContextual"/>
        </w:rPr>
        <w:t xml:space="preserve">2 </w:t>
      </w:r>
      <w:r>
        <w:rPr>
          <w:rFonts w:hint="eastAsia" w:ascii="Times New Roman" w:hAnsi="Times New Roman" w:cs="Times New Roman"/>
          <w:b w:val="0"/>
          <w:bCs w:val="0"/>
          <w:snapToGrid/>
          <w:color w:val="auto"/>
          <w:kern w:val="2"/>
          <w:sz w:val="18"/>
          <w:szCs w:val="18"/>
          <w:lang w:val="en-US" w:eastAsia="zh-CN" w:bidi="en-US"/>
          <w14:ligatures w14:val="standardContextual"/>
        </w:rPr>
        <w:t xml:space="preserve">Non-metric multidimensional scaling ordination plot based on Bray-Curtis dissimilarity at the ASV level. Ellipses cover replicates of each treatment group. R denotes root endosphere, Rh denotes rhizosphere, 0 and 300 refer to 0 mM and 300 mM NaCl, Bv indicates inoculation with </w:t>
      </w:r>
      <w:r>
        <w:rPr>
          <w:rFonts w:hint="eastAsia" w:ascii="Times New Roman" w:hAnsi="Times New Roman" w:cs="Times New Roman"/>
          <w:b w:val="0"/>
          <w:bCs w:val="0"/>
          <w:i/>
          <w:iCs/>
          <w:snapToGrid/>
          <w:color w:val="auto"/>
          <w:kern w:val="2"/>
          <w:sz w:val="18"/>
          <w:szCs w:val="18"/>
          <w:lang w:val="en-US" w:eastAsia="zh-CN" w:bidi="en-US"/>
          <w14:ligatures w14:val="standardContextual"/>
        </w:rPr>
        <w:t>Bacillus velezensis</w:t>
      </w:r>
      <w:r>
        <w:rPr>
          <w:rFonts w:hint="eastAsia" w:ascii="Times New Roman" w:hAnsi="Times New Roman" w:cs="Times New Roman"/>
          <w:b w:val="0"/>
          <w:bCs w:val="0"/>
          <w:snapToGrid/>
          <w:color w:val="auto"/>
          <w:kern w:val="2"/>
          <w:sz w:val="18"/>
          <w:szCs w:val="18"/>
          <w:lang w:val="en-US" w:eastAsia="zh-CN" w:bidi="en-US"/>
          <w14:ligatures w14:val="standardContextual"/>
        </w:rPr>
        <w:t xml:space="preserve"> SGTSH 0811.</w:t>
      </w:r>
    </w:p>
    <w:p w14:paraId="3200935B">
      <w:pPr>
        <w:spacing w:line="360" w:lineRule="auto"/>
        <w:jc w:val="center"/>
        <w:rPr>
          <w:rFonts w:hint="eastAsia" w:ascii="Times New Roman" w:hAnsi="Times New Roman" w:cs="Times New Roman" w:eastAsiaTheme="minorEastAsia"/>
          <w:b w:val="0"/>
          <w:bCs w:val="0"/>
          <w:snapToGrid/>
          <w:color w:val="auto"/>
          <w:kern w:val="2"/>
          <w:sz w:val="18"/>
          <w:szCs w:val="18"/>
          <w:lang w:val="en-US" w:eastAsia="zh-CN" w:bidi="en-US"/>
          <w14:ligatures w14:val="standardContextual"/>
        </w:rPr>
      </w:pPr>
      <w:r>
        <w:rPr>
          <w:rFonts w:hint="eastAsia" w:ascii="Times New Roman" w:hAnsi="Times New Roman" w:cs="Times New Roman" w:eastAsiaTheme="minorEastAsia"/>
          <w:b w:val="0"/>
          <w:bCs w:val="0"/>
          <w:snapToGrid/>
          <w:color w:val="auto"/>
          <w:kern w:val="2"/>
          <w:sz w:val="18"/>
          <w:szCs w:val="18"/>
          <w:lang w:val="en-US" w:eastAsia="zh-CN" w:bidi="en-US"/>
          <w14:ligatures w14:val="standardContextual"/>
        </w:rPr>
        <w:drawing>
          <wp:inline distT="0" distB="0" distL="114300" distR="114300">
            <wp:extent cx="4523105" cy="4032250"/>
            <wp:effectExtent l="0" t="0" r="1270" b="6350"/>
            <wp:docPr id="3" name="图片 3" descr="图S2-NM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S2-NMDS"/>
                    <pic:cNvPicPr>
                      <a:picLocks noChangeAspect="1"/>
                    </pic:cNvPicPr>
                  </pic:nvPicPr>
                  <pic:blipFill>
                    <a:blip r:embed="rId7"/>
                    <a:stretch>
                      <a:fillRect/>
                    </a:stretch>
                  </pic:blipFill>
                  <pic:spPr>
                    <a:xfrm>
                      <a:off x="0" y="0"/>
                      <a:ext cx="4523105" cy="4032250"/>
                    </a:xfrm>
                    <a:prstGeom prst="rect">
                      <a:avLst/>
                    </a:prstGeom>
                  </pic:spPr>
                </pic:pic>
              </a:graphicData>
            </a:graphic>
          </wp:inline>
        </w:drawing>
      </w:r>
    </w:p>
    <w:p w14:paraId="33BD8111">
      <w:pPr>
        <w:rPr>
          <w:rFonts w:hint="eastAsia" w:ascii="Times New Roman" w:hAnsi="Times New Roman" w:cs="Times New Roman" w:eastAsiaTheme="minorEastAsia"/>
          <w:b w:val="0"/>
          <w:bCs w:val="0"/>
          <w:snapToGrid/>
          <w:color w:val="auto"/>
          <w:kern w:val="2"/>
          <w:sz w:val="18"/>
          <w:szCs w:val="18"/>
          <w:lang w:val="en-US" w:eastAsia="zh-CN" w:bidi="en-US"/>
          <w14:ligatures w14:val="standardContextual"/>
        </w:rPr>
      </w:pPr>
      <w:r>
        <w:rPr>
          <w:rFonts w:hint="eastAsia" w:ascii="Times New Roman" w:hAnsi="Times New Roman" w:cs="Times New Roman" w:eastAsiaTheme="minorEastAsia"/>
          <w:b w:val="0"/>
          <w:bCs w:val="0"/>
          <w:snapToGrid/>
          <w:color w:val="auto"/>
          <w:kern w:val="2"/>
          <w:sz w:val="18"/>
          <w:szCs w:val="18"/>
          <w:lang w:val="en-US" w:eastAsia="zh-CN" w:bidi="en-US"/>
          <w14:ligatures w14:val="standardContextual"/>
        </w:rPr>
        <w:br w:type="page"/>
      </w:r>
    </w:p>
    <w:p w14:paraId="66AA96E5">
      <w:pPr>
        <w:spacing w:line="360" w:lineRule="auto"/>
        <w:jc w:val="both"/>
        <w:rPr>
          <w:rFonts w:hint="default" w:ascii="Times New Roman" w:hAnsi="Times New Roman" w:cs="Times New Roman" w:eastAsiaTheme="minorEastAsia"/>
          <w:b w:val="0"/>
          <w:bCs w:val="0"/>
          <w:snapToGrid/>
          <w:color w:val="auto"/>
          <w:kern w:val="2"/>
          <w:sz w:val="18"/>
          <w:szCs w:val="18"/>
          <w:lang w:val="en-US" w:eastAsia="zh-CN" w:bidi="en-US"/>
          <w14:ligatures w14:val="standardContextual"/>
        </w:rPr>
      </w:pPr>
      <w:r>
        <w:rPr>
          <w:rFonts w:hint="default" w:ascii="Times New Roman" w:hAnsi="Times New Roman" w:cs="Times New Roman" w:eastAsiaTheme="minorEastAsia"/>
          <w:b/>
          <w:bCs/>
          <w:snapToGrid/>
          <w:color w:val="auto"/>
          <w:kern w:val="2"/>
          <w:sz w:val="18"/>
          <w:szCs w:val="18"/>
          <w:lang w:val="en-US" w:eastAsia="zh-CN" w:bidi="en-US"/>
          <w14:ligatures w14:val="standardContextual"/>
        </w:rPr>
        <w:t>Fig</w:t>
      </w:r>
      <w:r>
        <w:rPr>
          <w:rFonts w:hint="default" w:ascii="Times New Roman" w:hAnsi="Times New Roman" w:cs="Times New Roman"/>
          <w:b/>
          <w:bCs/>
          <w:snapToGrid/>
          <w:color w:val="auto"/>
          <w:kern w:val="2"/>
          <w:sz w:val="18"/>
          <w:szCs w:val="18"/>
          <w:lang w:val="en-US" w:eastAsia="zh-CN" w:bidi="en-US"/>
          <w14:ligatures w14:val="standardContextual"/>
        </w:rPr>
        <w:t>.S</w:t>
      </w:r>
      <w:r>
        <w:rPr>
          <w:rFonts w:hint="eastAsia" w:ascii="Times New Roman" w:hAnsi="Times New Roman" w:cs="Times New Roman"/>
          <w:b/>
          <w:bCs/>
          <w:snapToGrid/>
          <w:color w:val="auto"/>
          <w:kern w:val="2"/>
          <w:sz w:val="18"/>
          <w:szCs w:val="18"/>
          <w:lang w:val="en-US" w:eastAsia="zh-CN" w:bidi="en-US"/>
          <w14:ligatures w14:val="standardContextual"/>
        </w:rPr>
        <w:t xml:space="preserve">3 </w:t>
      </w:r>
      <w:r>
        <w:rPr>
          <w:rFonts w:hint="eastAsia" w:ascii="Times New Roman" w:hAnsi="Times New Roman" w:cs="Times New Roman"/>
          <w:b w:val="0"/>
          <w:bCs w:val="0"/>
          <w:snapToGrid/>
          <w:color w:val="auto"/>
          <w:kern w:val="2"/>
          <w:sz w:val="18"/>
          <w:szCs w:val="18"/>
          <w:lang w:val="en-US" w:eastAsia="zh-CN" w:bidi="en-US"/>
          <w14:ligatures w14:val="standardContextual"/>
        </w:rPr>
        <w:t>Two-way hierarchical clustering heatmap of the top 30 dominant bacterial genera at genus level. (A) Root endosphere bacterial community heatmap. (B) Rhizosphere soil bacterial community heatmap. Genera are colored according to their affiliated phyla, and data were normalized by Z-score by row.</w:t>
      </w:r>
    </w:p>
    <w:p w14:paraId="42CBEE01">
      <w:pPr>
        <w:spacing w:line="360" w:lineRule="auto"/>
        <w:jc w:val="both"/>
        <w:rPr>
          <w:rFonts w:hint="eastAsia" w:ascii="Times New Roman" w:hAnsi="Times New Roman" w:cs="Times New Roman" w:eastAsiaTheme="minorEastAsia"/>
          <w:b w:val="0"/>
          <w:bCs w:val="0"/>
          <w:snapToGrid/>
          <w:color w:val="auto"/>
          <w:kern w:val="2"/>
          <w:sz w:val="18"/>
          <w:szCs w:val="18"/>
          <w:lang w:val="en-US" w:eastAsia="zh-CN" w:bidi="en-US"/>
          <w14:ligatures w14:val="standardContextual"/>
        </w:rPr>
      </w:pPr>
      <w:r>
        <w:rPr>
          <w:rFonts w:hint="eastAsia" w:ascii="Times New Roman" w:hAnsi="Times New Roman" w:cs="Times New Roman" w:eastAsiaTheme="minorEastAsia"/>
          <w:b w:val="0"/>
          <w:bCs w:val="0"/>
          <w:snapToGrid/>
          <w:color w:val="auto"/>
          <w:kern w:val="2"/>
          <w:sz w:val="18"/>
          <w:szCs w:val="18"/>
          <w:lang w:val="en-US" w:eastAsia="zh-CN" w:bidi="en-US"/>
          <w14:ligatures w14:val="standardContextual"/>
        </w:rPr>
        <w:drawing>
          <wp:inline distT="0" distB="0" distL="114300" distR="114300">
            <wp:extent cx="5271135" cy="2161540"/>
            <wp:effectExtent l="0" t="0" r="5715" b="635"/>
            <wp:docPr id="4" name="图片 4" descr="图S3-属水平热图（根内和根际土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S3-属水平热图（根内和根际土壤）"/>
                    <pic:cNvPicPr>
                      <a:picLocks noChangeAspect="1"/>
                    </pic:cNvPicPr>
                  </pic:nvPicPr>
                  <pic:blipFill>
                    <a:blip r:embed="rId8"/>
                    <a:stretch>
                      <a:fillRect/>
                    </a:stretch>
                  </pic:blipFill>
                  <pic:spPr>
                    <a:xfrm>
                      <a:off x="0" y="0"/>
                      <a:ext cx="5271135" cy="2161540"/>
                    </a:xfrm>
                    <a:prstGeom prst="rect">
                      <a:avLst/>
                    </a:prstGeom>
                  </pic:spPr>
                </pic:pic>
              </a:graphicData>
            </a:graphic>
          </wp:inline>
        </w:drawing>
      </w:r>
    </w:p>
    <w:p w14:paraId="18A9A927">
      <w:pPr>
        <w:rPr>
          <w:rFonts w:hint="eastAsia" w:ascii="Times New Roman" w:hAnsi="Times New Roman" w:cs="Times New Roman" w:eastAsiaTheme="minorEastAsia"/>
          <w:b w:val="0"/>
          <w:bCs w:val="0"/>
          <w:snapToGrid/>
          <w:color w:val="auto"/>
          <w:kern w:val="2"/>
          <w:sz w:val="18"/>
          <w:szCs w:val="18"/>
          <w:lang w:val="en-US" w:eastAsia="zh-CN" w:bidi="en-US"/>
          <w14:ligatures w14:val="standardContextual"/>
        </w:rPr>
      </w:pPr>
      <w:r>
        <w:rPr>
          <w:rFonts w:hint="eastAsia" w:ascii="Times New Roman" w:hAnsi="Times New Roman" w:cs="Times New Roman" w:eastAsiaTheme="minorEastAsia"/>
          <w:b w:val="0"/>
          <w:bCs w:val="0"/>
          <w:snapToGrid/>
          <w:color w:val="auto"/>
          <w:kern w:val="2"/>
          <w:sz w:val="18"/>
          <w:szCs w:val="18"/>
          <w:lang w:val="en-US" w:eastAsia="zh-CN" w:bidi="en-US"/>
          <w14:ligatures w14:val="standardContextual"/>
        </w:rPr>
        <w:br w:type="page"/>
      </w:r>
    </w:p>
    <w:p w14:paraId="5AE2FDBD">
      <w:pPr>
        <w:spacing w:line="360" w:lineRule="auto"/>
        <w:jc w:val="both"/>
        <w:rPr>
          <w:rFonts w:hint="default" w:ascii="Times New Roman" w:hAnsi="Times New Roman" w:cs="Times New Roman" w:eastAsiaTheme="minorEastAsia"/>
          <w:b w:val="0"/>
          <w:bCs w:val="0"/>
          <w:snapToGrid/>
          <w:color w:val="auto"/>
          <w:kern w:val="2"/>
          <w:sz w:val="18"/>
          <w:szCs w:val="18"/>
          <w:lang w:val="en-US" w:eastAsia="zh-CN" w:bidi="en-US"/>
          <w14:ligatures w14:val="standardContextual"/>
        </w:rPr>
      </w:pPr>
      <w:r>
        <w:rPr>
          <w:rFonts w:hint="default" w:ascii="Times New Roman" w:hAnsi="Times New Roman" w:cs="Times New Roman" w:eastAsiaTheme="minorEastAsia"/>
          <w:b/>
          <w:bCs/>
          <w:snapToGrid/>
          <w:color w:val="auto"/>
          <w:kern w:val="2"/>
          <w:sz w:val="18"/>
          <w:szCs w:val="18"/>
          <w:lang w:val="en-US" w:eastAsia="zh-CN" w:bidi="en-US"/>
          <w14:ligatures w14:val="standardContextual"/>
        </w:rPr>
        <w:t>Fig</w:t>
      </w:r>
      <w:r>
        <w:rPr>
          <w:rFonts w:hint="default" w:ascii="Times New Roman" w:hAnsi="Times New Roman" w:cs="Times New Roman"/>
          <w:b/>
          <w:bCs/>
          <w:snapToGrid/>
          <w:color w:val="auto"/>
          <w:kern w:val="2"/>
          <w:sz w:val="18"/>
          <w:szCs w:val="18"/>
          <w:lang w:val="en-US" w:eastAsia="zh-CN" w:bidi="en-US"/>
          <w14:ligatures w14:val="standardContextual"/>
        </w:rPr>
        <w:t>.S</w:t>
      </w:r>
      <w:r>
        <w:rPr>
          <w:rFonts w:hint="eastAsia" w:ascii="Times New Roman" w:hAnsi="Times New Roman" w:cs="Times New Roman"/>
          <w:b/>
          <w:bCs/>
          <w:snapToGrid/>
          <w:color w:val="auto"/>
          <w:kern w:val="2"/>
          <w:sz w:val="18"/>
          <w:szCs w:val="18"/>
          <w:lang w:val="en-US" w:eastAsia="zh-CN" w:bidi="en-US"/>
          <w14:ligatures w14:val="standardContextual"/>
        </w:rPr>
        <w:t>4</w:t>
      </w:r>
      <w:r>
        <w:rPr>
          <w:rFonts w:hint="default" w:ascii="Times New Roman" w:hAnsi="Times New Roman" w:cs="Times New Roman"/>
          <w:b/>
          <w:bCs/>
          <w:snapToGrid/>
          <w:color w:val="auto"/>
          <w:kern w:val="2"/>
          <w:sz w:val="18"/>
          <w:szCs w:val="18"/>
          <w:lang w:val="en-US" w:eastAsia="zh-CN" w:bidi="en-US"/>
          <w14:ligatures w14:val="standardContextual"/>
        </w:rPr>
        <w:t xml:space="preserve"> </w:t>
      </w:r>
      <w:r>
        <w:rPr>
          <w:rFonts w:hint="eastAsia" w:ascii="Times New Roman" w:hAnsi="Times New Roman" w:cs="Times New Roman"/>
          <w:b w:val="0"/>
          <w:bCs w:val="0"/>
          <w:snapToGrid/>
          <w:color w:val="auto"/>
          <w:kern w:val="2"/>
          <w:sz w:val="18"/>
          <w:szCs w:val="18"/>
          <w:lang w:val="en-US" w:eastAsia="zh-CN" w:bidi="en-US"/>
          <w14:ligatures w14:val="standardContextual"/>
        </w:rPr>
        <w:t xml:space="preserve">Box plots showing relative abundances of significantly differential bacterial genera at the genus level. (A) Significantly differential genera derived from root endosphere bacterial communities. (B) Significantly differential genera derived from rhizosphere bacterial communities. Intergroup differences were evaluated using one-way ANOVA with FDR correction, post-hoc multiple comparisons were performed via Tukey-Kramer test. R stands for root endosphere, Rh stands for rhizosphere, 0 and 300 indicate 0 mM and 300 mM NaCl treatments, and Bv represents inoculation with </w:t>
      </w:r>
      <w:r>
        <w:rPr>
          <w:rFonts w:hint="eastAsia" w:ascii="Times New Roman" w:hAnsi="Times New Roman" w:cs="Times New Roman"/>
          <w:b w:val="0"/>
          <w:bCs w:val="0"/>
          <w:i/>
          <w:iCs/>
          <w:snapToGrid/>
          <w:color w:val="auto"/>
          <w:kern w:val="2"/>
          <w:sz w:val="18"/>
          <w:szCs w:val="18"/>
          <w:lang w:val="en-US" w:eastAsia="zh-CN" w:bidi="en-US"/>
          <w14:ligatures w14:val="standardContextual"/>
        </w:rPr>
        <w:t>Bacillus velezensis</w:t>
      </w:r>
      <w:r>
        <w:rPr>
          <w:rFonts w:hint="eastAsia" w:ascii="Times New Roman" w:hAnsi="Times New Roman" w:cs="Times New Roman"/>
          <w:b w:val="0"/>
          <w:bCs w:val="0"/>
          <w:snapToGrid/>
          <w:color w:val="auto"/>
          <w:kern w:val="2"/>
          <w:sz w:val="18"/>
          <w:szCs w:val="18"/>
          <w:lang w:val="en-US" w:eastAsia="zh-CN" w:bidi="en-US"/>
          <w14:ligatures w14:val="standardContextual"/>
        </w:rPr>
        <w:t xml:space="preserve"> SGTSH 0811.</w:t>
      </w:r>
    </w:p>
    <w:p w14:paraId="19400AFD">
      <w:pPr>
        <w:spacing w:line="360" w:lineRule="auto"/>
        <w:jc w:val="both"/>
        <w:rPr>
          <w:rFonts w:hint="eastAsia" w:ascii="Times New Roman" w:hAnsi="Times New Roman" w:cs="Times New Roman" w:eastAsiaTheme="minorEastAsia"/>
          <w:b w:val="0"/>
          <w:bCs w:val="0"/>
          <w:snapToGrid/>
          <w:color w:val="auto"/>
          <w:kern w:val="2"/>
          <w:sz w:val="18"/>
          <w:szCs w:val="18"/>
          <w:lang w:val="en-US" w:eastAsia="zh-CN" w:bidi="en-US"/>
          <w14:ligatures w14:val="standardContextual"/>
        </w:rPr>
      </w:pPr>
      <w:r>
        <w:rPr>
          <w:rFonts w:hint="eastAsia" w:ascii="Times New Roman" w:hAnsi="Times New Roman" w:cs="Times New Roman" w:eastAsiaTheme="minorEastAsia"/>
          <w:b w:val="0"/>
          <w:bCs w:val="0"/>
          <w:snapToGrid/>
          <w:color w:val="auto"/>
          <w:kern w:val="2"/>
          <w:sz w:val="18"/>
          <w:szCs w:val="18"/>
          <w:lang w:val="en-US" w:eastAsia="zh-CN" w:bidi="en-US"/>
          <w14:ligatures w14:val="standardContextual"/>
        </w:rPr>
        <w:drawing>
          <wp:inline distT="0" distB="0" distL="114300" distR="114300">
            <wp:extent cx="5274310" cy="2327910"/>
            <wp:effectExtent l="0" t="0" r="2540" b="5715"/>
            <wp:docPr id="5" name="图片 5" descr="图S4-多组水平箱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S4-多组水平箱式图"/>
                    <pic:cNvPicPr>
                      <a:picLocks noChangeAspect="1"/>
                    </pic:cNvPicPr>
                  </pic:nvPicPr>
                  <pic:blipFill>
                    <a:blip r:embed="rId9"/>
                    <a:stretch>
                      <a:fillRect/>
                    </a:stretch>
                  </pic:blipFill>
                  <pic:spPr>
                    <a:xfrm>
                      <a:off x="0" y="0"/>
                      <a:ext cx="5274310" cy="2327910"/>
                    </a:xfrm>
                    <a:prstGeom prst="rect">
                      <a:avLst/>
                    </a:prstGeom>
                  </pic:spPr>
                </pic:pic>
              </a:graphicData>
            </a:graphic>
          </wp:inline>
        </w:drawing>
      </w:r>
    </w:p>
    <w:p w14:paraId="132B09B0">
      <w:pPr>
        <w:rPr>
          <w:rFonts w:hint="eastAsia" w:ascii="Times New Roman" w:hAnsi="Times New Roman" w:cs="Times New Roman" w:eastAsiaTheme="minorEastAsia"/>
          <w:b w:val="0"/>
          <w:bCs w:val="0"/>
          <w:snapToGrid/>
          <w:color w:val="auto"/>
          <w:kern w:val="2"/>
          <w:sz w:val="18"/>
          <w:szCs w:val="18"/>
          <w:lang w:val="en-US" w:eastAsia="zh-CN" w:bidi="en-US"/>
          <w14:ligatures w14:val="standardContextual"/>
        </w:rPr>
      </w:pPr>
      <w:r>
        <w:rPr>
          <w:rFonts w:hint="eastAsia" w:ascii="Times New Roman" w:hAnsi="Times New Roman" w:cs="Times New Roman" w:eastAsiaTheme="minorEastAsia"/>
          <w:b w:val="0"/>
          <w:bCs w:val="0"/>
          <w:snapToGrid/>
          <w:color w:val="auto"/>
          <w:kern w:val="2"/>
          <w:sz w:val="18"/>
          <w:szCs w:val="18"/>
          <w:lang w:val="en-US" w:eastAsia="zh-CN" w:bidi="en-US"/>
          <w14:ligatures w14:val="standardContextual"/>
        </w:rPr>
        <w:br w:type="page"/>
      </w:r>
    </w:p>
    <w:p w14:paraId="58976525">
      <w:pPr>
        <w:spacing w:line="360" w:lineRule="auto"/>
        <w:jc w:val="both"/>
        <w:rPr>
          <w:rFonts w:hint="default" w:ascii="Times New Roman" w:hAnsi="Times New Roman" w:cs="Times New Roman"/>
          <w:b w:val="0"/>
          <w:bCs w:val="0"/>
          <w:snapToGrid/>
          <w:color w:val="auto"/>
          <w:kern w:val="2"/>
          <w:sz w:val="18"/>
          <w:szCs w:val="18"/>
          <w:lang w:val="en-US" w:eastAsia="zh-CN" w:bidi="en-US"/>
          <w14:ligatures w14:val="standardContextual"/>
        </w:rPr>
      </w:pPr>
      <w:r>
        <w:rPr>
          <w:rFonts w:hint="default" w:ascii="Times New Roman" w:hAnsi="Times New Roman" w:cs="Times New Roman" w:eastAsiaTheme="minorEastAsia"/>
          <w:b/>
          <w:bCs/>
          <w:snapToGrid/>
          <w:color w:val="auto"/>
          <w:kern w:val="2"/>
          <w:sz w:val="18"/>
          <w:szCs w:val="18"/>
          <w:lang w:val="en-US" w:eastAsia="zh-CN" w:bidi="en-US"/>
          <w14:ligatures w14:val="standardContextual"/>
        </w:rPr>
        <w:t>Fig</w:t>
      </w:r>
      <w:r>
        <w:rPr>
          <w:rFonts w:hint="default" w:ascii="Times New Roman" w:hAnsi="Times New Roman" w:cs="Times New Roman"/>
          <w:b/>
          <w:bCs/>
          <w:snapToGrid/>
          <w:color w:val="auto"/>
          <w:kern w:val="2"/>
          <w:sz w:val="18"/>
          <w:szCs w:val="18"/>
          <w:lang w:val="en-US" w:eastAsia="zh-CN" w:bidi="en-US"/>
          <w14:ligatures w14:val="standardContextual"/>
        </w:rPr>
        <w:t>.S</w:t>
      </w:r>
      <w:r>
        <w:rPr>
          <w:rFonts w:hint="eastAsia" w:ascii="Times New Roman" w:hAnsi="Times New Roman" w:cs="Times New Roman"/>
          <w:b/>
          <w:bCs/>
          <w:snapToGrid/>
          <w:color w:val="auto"/>
          <w:kern w:val="2"/>
          <w:sz w:val="18"/>
          <w:szCs w:val="18"/>
          <w:lang w:val="en-US" w:eastAsia="zh-CN" w:bidi="en-US"/>
          <w14:ligatures w14:val="standardContextual"/>
        </w:rPr>
        <w:t xml:space="preserve">5 </w:t>
      </w:r>
      <w:r>
        <w:rPr>
          <w:rFonts w:hint="eastAsia" w:ascii="Times New Roman" w:hAnsi="Times New Roman" w:cs="Times New Roman"/>
          <w:b w:val="0"/>
          <w:bCs w:val="0"/>
          <w:snapToGrid/>
          <w:color w:val="auto"/>
          <w:kern w:val="2"/>
          <w:sz w:val="18"/>
          <w:szCs w:val="18"/>
          <w:lang w:val="en-US" w:eastAsia="zh-CN" w:bidi="en-US"/>
          <w14:ligatures w14:val="standardContextual"/>
        </w:rPr>
        <w:t>Distribution characteristics and ecological classification of bacterial ASVs across all treatment groups. (A) Scatter plot of log10-transformed mean relative abundance against occurrence frequency for all ASVs, fitted with linear regression model (y=5.152x-5.472, R</w:t>
      </w:r>
      <w:r>
        <w:rPr>
          <w:rFonts w:hint="eastAsia" w:ascii="Times New Roman" w:hAnsi="Times New Roman" w:cs="Times New Roman"/>
          <w:b w:val="0"/>
          <w:bCs w:val="0"/>
          <w:snapToGrid/>
          <w:color w:val="auto"/>
          <w:kern w:val="2"/>
          <w:sz w:val="18"/>
          <w:szCs w:val="18"/>
          <w:vertAlign w:val="superscript"/>
          <w:lang w:val="en-US" w:eastAsia="zh-CN" w:bidi="en-US"/>
          <w14:ligatures w14:val="standardContextual"/>
        </w:rPr>
        <w:t>2</w:t>
      </w:r>
      <w:r>
        <w:rPr>
          <w:rFonts w:hint="eastAsia" w:ascii="Times New Roman" w:hAnsi="Times New Roman" w:cs="Times New Roman"/>
          <w:b w:val="0"/>
          <w:bCs w:val="0"/>
          <w:snapToGrid/>
          <w:color w:val="auto"/>
          <w:kern w:val="2"/>
          <w:sz w:val="18"/>
          <w:szCs w:val="18"/>
          <w:lang w:val="en-US" w:eastAsia="zh-CN" w:bidi="en-US"/>
          <w14:ligatures w14:val="standardContextual"/>
        </w:rPr>
        <w:t xml:space="preserve">=0.412, </w:t>
      </w:r>
      <w:r>
        <w:rPr>
          <w:rFonts w:hint="eastAsia" w:ascii="Times New Roman" w:hAnsi="Times New Roman" w:cs="Times New Roman"/>
          <w:b w:val="0"/>
          <w:bCs w:val="0"/>
          <w:i/>
          <w:iCs/>
          <w:snapToGrid/>
          <w:color w:val="auto"/>
          <w:kern w:val="2"/>
          <w:sz w:val="18"/>
          <w:szCs w:val="18"/>
          <w:lang w:val="en-US" w:eastAsia="zh-CN" w:bidi="en-US"/>
          <w14:ligatures w14:val="standardContextual"/>
        </w:rPr>
        <w:t>P</w:t>
      </w:r>
      <w:r>
        <w:rPr>
          <w:rFonts w:hint="eastAsia" w:ascii="Times New Roman" w:hAnsi="Times New Roman" w:cs="Times New Roman"/>
          <w:b w:val="0"/>
          <w:bCs w:val="0"/>
          <w:snapToGrid/>
          <w:color w:val="auto"/>
          <w:kern w:val="2"/>
          <w:sz w:val="18"/>
          <w:szCs w:val="18"/>
          <w:lang w:val="en-US" w:eastAsia="zh-CN" w:bidi="en-US"/>
          <w14:ligatures w14:val="standardContextual"/>
        </w:rPr>
        <w:t xml:space="preserve">&lt;0.001). (B) Stacked bar charts showing the proportion of transient, intermittent and persistent ASVs in terms of taxon number and total relative abundance within each treatment. Transient, intermittent and persistent ASVs are distinguished by blue, orange and green colors, respectively, R denotes root endosphere, Rh denotes rhizosphere, 0 and 300 refer to 0 mM and 300 mM NaCl treatments, and Bv represents inoculation with </w:t>
      </w:r>
      <w:r>
        <w:rPr>
          <w:rFonts w:hint="eastAsia" w:ascii="Times New Roman" w:hAnsi="Times New Roman" w:cs="Times New Roman"/>
          <w:b w:val="0"/>
          <w:bCs w:val="0"/>
          <w:i/>
          <w:iCs/>
          <w:snapToGrid/>
          <w:color w:val="auto"/>
          <w:kern w:val="2"/>
          <w:sz w:val="18"/>
          <w:szCs w:val="18"/>
          <w:lang w:val="en-US" w:eastAsia="zh-CN" w:bidi="en-US"/>
          <w14:ligatures w14:val="standardContextual"/>
        </w:rPr>
        <w:t>Bacillus velezensis</w:t>
      </w:r>
      <w:r>
        <w:rPr>
          <w:rFonts w:hint="eastAsia" w:ascii="Times New Roman" w:hAnsi="Times New Roman" w:cs="Times New Roman"/>
          <w:b w:val="0"/>
          <w:bCs w:val="0"/>
          <w:snapToGrid/>
          <w:color w:val="auto"/>
          <w:kern w:val="2"/>
          <w:sz w:val="18"/>
          <w:szCs w:val="18"/>
          <w:lang w:val="en-US" w:eastAsia="zh-CN" w:bidi="en-US"/>
          <w14:ligatures w14:val="standardContextual"/>
        </w:rPr>
        <w:t xml:space="preserve"> SGTSH 0811.</w:t>
      </w:r>
    </w:p>
    <w:p w14:paraId="2CDFDCA3">
      <w:pPr>
        <w:spacing w:line="360" w:lineRule="auto"/>
        <w:jc w:val="center"/>
        <w:rPr>
          <w:rFonts w:hint="eastAsia" w:ascii="Times New Roman" w:hAnsi="Times New Roman" w:cs="Times New Roman"/>
          <w:b/>
          <w:bCs/>
          <w:snapToGrid/>
          <w:color w:val="auto"/>
          <w:kern w:val="2"/>
          <w:sz w:val="18"/>
          <w:szCs w:val="18"/>
          <w:lang w:val="en-US" w:eastAsia="zh-CN" w:bidi="en-US"/>
          <w14:ligatures w14:val="standardContextual"/>
        </w:rPr>
      </w:pPr>
      <w:r>
        <w:rPr>
          <w:rFonts w:hint="eastAsia" w:ascii="Times New Roman" w:hAnsi="Times New Roman" w:cs="Times New Roman"/>
          <w:b/>
          <w:bCs/>
          <w:snapToGrid/>
          <w:color w:val="auto"/>
          <w:kern w:val="2"/>
          <w:sz w:val="18"/>
          <w:szCs w:val="18"/>
          <w:lang w:val="en-US" w:eastAsia="zh-CN" w:bidi="en-US"/>
          <w14:ligatures w14:val="standardContextual"/>
        </w:rPr>
        <w:drawing>
          <wp:inline distT="0" distB="0" distL="114300" distR="114300">
            <wp:extent cx="5272405" cy="2025015"/>
            <wp:effectExtent l="0" t="0" r="4445" b="3810"/>
            <wp:docPr id="6" name="图片 6" descr="图S5-土壤微生物群落环境敏感性的比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S5-土壤微生物群落环境敏感性的比较"/>
                    <pic:cNvPicPr>
                      <a:picLocks noChangeAspect="1"/>
                    </pic:cNvPicPr>
                  </pic:nvPicPr>
                  <pic:blipFill>
                    <a:blip r:embed="rId10"/>
                    <a:stretch>
                      <a:fillRect/>
                    </a:stretch>
                  </pic:blipFill>
                  <pic:spPr>
                    <a:xfrm>
                      <a:off x="0" y="0"/>
                      <a:ext cx="5272405" cy="2025015"/>
                    </a:xfrm>
                    <a:prstGeom prst="rect">
                      <a:avLst/>
                    </a:prstGeom>
                  </pic:spPr>
                </pic:pic>
              </a:graphicData>
            </a:graphic>
          </wp:inline>
        </w:drawing>
      </w:r>
    </w:p>
    <w:p w14:paraId="2968B9B6">
      <w:pPr>
        <w:spacing w:line="360" w:lineRule="auto"/>
        <w:jc w:val="both"/>
        <w:rPr>
          <w:rFonts w:hint="default" w:ascii="Times New Roman" w:hAnsi="Times New Roman" w:cs="Times New Roman"/>
          <w:b/>
          <w:bCs/>
          <w:snapToGrid/>
          <w:color w:val="auto"/>
          <w:kern w:val="2"/>
          <w:sz w:val="18"/>
          <w:szCs w:val="18"/>
          <w:lang w:val="en-US" w:eastAsia="zh-CN" w:bidi="en-US"/>
          <w14:ligatures w14:val="standardContextual"/>
        </w:rPr>
      </w:pPr>
    </w:p>
    <w:p w14:paraId="0DFE7154">
      <w:pPr>
        <w:rPr>
          <w:rFonts w:hint="eastAsia" w:ascii="Times New Roman" w:hAnsi="Times New Roman" w:cs="Times New Roman" w:eastAsiaTheme="minorEastAsia"/>
          <w:b w:val="0"/>
          <w:bCs w:val="0"/>
          <w:snapToGrid/>
          <w:color w:val="auto"/>
          <w:kern w:val="2"/>
          <w:sz w:val="18"/>
          <w:szCs w:val="18"/>
          <w:lang w:val="en-US" w:eastAsia="zh-CN" w:bidi="en-US"/>
          <w14:ligatures w14:val="standardContextual"/>
        </w:rPr>
      </w:pPr>
      <w:r>
        <w:rPr>
          <w:rFonts w:hint="eastAsia" w:ascii="Times New Roman" w:hAnsi="Times New Roman" w:cs="Times New Roman" w:eastAsiaTheme="minorEastAsia"/>
          <w:b w:val="0"/>
          <w:bCs w:val="0"/>
          <w:snapToGrid/>
          <w:color w:val="auto"/>
          <w:kern w:val="2"/>
          <w:sz w:val="18"/>
          <w:szCs w:val="18"/>
          <w:lang w:val="en-US" w:eastAsia="zh-CN" w:bidi="en-US"/>
          <w14:ligatures w14:val="standardContextual"/>
        </w:rPr>
        <w:br w:type="page"/>
      </w:r>
    </w:p>
    <w:p w14:paraId="287C37DE">
      <w:pPr>
        <w:spacing w:line="360" w:lineRule="auto"/>
        <w:jc w:val="both"/>
        <w:rPr>
          <w:rFonts w:hint="eastAsia" w:ascii="Times New Roman" w:hAnsi="Times New Roman" w:cs="Times New Roman" w:eastAsiaTheme="minorEastAsia"/>
          <w:b w:val="0"/>
          <w:bCs w:val="0"/>
          <w:snapToGrid/>
          <w:color w:val="auto"/>
          <w:kern w:val="2"/>
          <w:sz w:val="18"/>
          <w:szCs w:val="18"/>
          <w:lang w:val="en-US" w:eastAsia="zh-CN" w:bidi="en-US"/>
          <w14:ligatures w14:val="standardContextual"/>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6DBAEA3">
      <w:pPr>
        <w:widowControl/>
        <w:autoSpaceDE w:val="0"/>
        <w:autoSpaceDN w:val="0"/>
        <w:adjustRightInd w:val="0"/>
        <w:spacing w:after="200" w:line="240" w:lineRule="auto"/>
        <w:jc w:val="both"/>
        <w:rPr>
          <w:rFonts w:hint="default" w:ascii="Times New Roman" w:hAnsi="Times New Roman" w:eastAsia="等线" w:cs="Times New Roman"/>
          <w:b/>
          <w:bCs/>
          <w:kern w:val="0"/>
          <w:sz w:val="20"/>
          <w:szCs w:val="20"/>
          <w:lang w:val="en-US"/>
        </w:rPr>
      </w:pPr>
      <w:r>
        <w:rPr>
          <w:rFonts w:hint="eastAsia" w:ascii="Times New Roman" w:hAnsi="Times New Roman" w:cs="Times New Roman"/>
          <w:b/>
          <w:bCs/>
          <w:color w:val="auto"/>
          <w:kern w:val="0"/>
          <w:sz w:val="20"/>
          <w:szCs w:val="20"/>
          <w:lang w:val="en-US" w:eastAsia="zh-CN"/>
        </w:rPr>
        <w:t xml:space="preserve">Table S1 </w:t>
      </w:r>
      <w:r>
        <w:rPr>
          <w:rFonts w:hint="eastAsia" w:ascii="Times New Roman" w:hAnsi="Times New Roman" w:cs="Times New Roman"/>
          <w:color w:val="auto"/>
          <w:kern w:val="0"/>
          <w:sz w:val="20"/>
          <w:szCs w:val="20"/>
          <w:lang w:val="en-US" w:eastAsia="zh-CN"/>
        </w:rPr>
        <w:t>Primer sequences of sunflower genes for real-time quantitative PCR</w:t>
      </w:r>
    </w:p>
    <w:tbl>
      <w:tblPr>
        <w:tblStyle w:val="7"/>
        <w:tblW w:w="6611" w:type="pct"/>
        <w:tblInd w:w="-1346"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10"/>
        <w:gridCol w:w="3810"/>
        <w:gridCol w:w="6148"/>
      </w:tblGrid>
      <w:tr w14:paraId="1F7A7C3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581" w:type="pct"/>
            <w:tcBorders>
              <w:tl2br w:val="nil"/>
              <w:tr2bl w:val="nil"/>
            </w:tcBorders>
            <w:shd w:val="clear" w:color="auto" w:fill="auto"/>
            <w:vAlign w:val="center"/>
          </w:tcPr>
          <w:p w14:paraId="566AFE4C">
            <w:pPr>
              <w:keepNext w:val="0"/>
              <w:keepLines w:val="0"/>
              <w:widowControl/>
              <w:suppressLineNumbers w:val="0"/>
              <w:spacing w:after="0" w:line="360" w:lineRule="auto"/>
              <w:jc w:val="center"/>
              <w:rPr>
                <w:rFonts w:ascii="Times New Roman" w:hAnsi="Times New Roman" w:eastAsia="等线" w:cs="Times New Roman"/>
                <w:bCs/>
                <w:sz w:val="20"/>
                <w:szCs w:val="20"/>
              </w:rPr>
            </w:pPr>
            <w:r>
              <w:rPr>
                <w:rFonts w:hint="default" w:ascii="Times New Roman" w:hAnsi="Times New Roman" w:eastAsia="宋体" w:cs="Times New Roman"/>
                <w:color w:val="000000"/>
                <w:kern w:val="0"/>
                <w:sz w:val="20"/>
                <w:szCs w:val="20"/>
                <w:lang w:val="en-US" w:eastAsia="zh-CN" w:bidi="ar"/>
              </w:rPr>
              <w:t>Genes name</w:t>
            </w:r>
          </w:p>
        </w:tc>
        <w:tc>
          <w:tcPr>
            <w:tcW w:w="1690" w:type="pct"/>
            <w:tcBorders>
              <w:tl2br w:val="nil"/>
              <w:tr2bl w:val="nil"/>
            </w:tcBorders>
            <w:shd w:val="clear" w:color="auto" w:fill="auto"/>
            <w:vAlign w:val="center"/>
          </w:tcPr>
          <w:p w14:paraId="14FDFB62">
            <w:pPr>
              <w:keepNext w:val="0"/>
              <w:keepLines w:val="0"/>
              <w:widowControl/>
              <w:suppressLineNumbers w:val="0"/>
              <w:spacing w:after="0" w:line="360" w:lineRule="auto"/>
              <w:jc w:val="center"/>
              <w:rPr>
                <w:rFonts w:ascii="Times New Roman" w:hAnsi="Times New Roman" w:eastAsia="等线" w:cs="Times New Roman"/>
                <w:bCs/>
                <w:sz w:val="20"/>
                <w:szCs w:val="20"/>
              </w:rPr>
            </w:pPr>
            <w:r>
              <w:rPr>
                <w:rFonts w:hint="default" w:ascii="Times New Roman" w:hAnsi="Times New Roman" w:eastAsia="宋体" w:cs="Times New Roman"/>
                <w:color w:val="000000"/>
                <w:kern w:val="0"/>
                <w:sz w:val="20"/>
                <w:szCs w:val="20"/>
                <w:lang w:val="en-US" w:eastAsia="zh-CN" w:bidi="ar"/>
              </w:rPr>
              <w:t>Sequences of primer (5′→3′)</w:t>
            </w:r>
          </w:p>
        </w:tc>
        <w:tc>
          <w:tcPr>
            <w:tcW w:w="2728" w:type="pct"/>
            <w:tcBorders>
              <w:tl2br w:val="nil"/>
              <w:tr2bl w:val="nil"/>
            </w:tcBorders>
            <w:shd w:val="clear" w:color="auto" w:fill="auto"/>
            <w:vAlign w:val="center"/>
          </w:tcPr>
          <w:p w14:paraId="1010D920">
            <w:pPr>
              <w:keepNext w:val="0"/>
              <w:keepLines w:val="0"/>
              <w:widowControl/>
              <w:suppressLineNumbers w:val="0"/>
              <w:spacing w:after="0" w:line="360" w:lineRule="auto"/>
              <w:jc w:val="center"/>
              <w:rPr>
                <w:rFonts w:ascii="Times New Roman" w:hAnsi="Times New Roman" w:eastAsia="等线" w:cs="Times New Roman"/>
                <w:bCs/>
                <w:sz w:val="20"/>
                <w:szCs w:val="20"/>
              </w:rPr>
            </w:pPr>
            <w:r>
              <w:rPr>
                <w:rFonts w:hint="default" w:ascii="Times New Roman" w:hAnsi="Times New Roman" w:eastAsia="宋体" w:cs="Times New Roman"/>
                <w:color w:val="000000"/>
                <w:kern w:val="0"/>
                <w:sz w:val="20"/>
                <w:szCs w:val="20"/>
                <w:lang w:val="en-US" w:eastAsia="zh-CN" w:bidi="ar"/>
              </w:rPr>
              <w:t>Functional description</w:t>
            </w:r>
          </w:p>
        </w:tc>
      </w:tr>
      <w:tr w14:paraId="4459580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581" w:type="pct"/>
            <w:vMerge w:val="restart"/>
            <w:tcBorders>
              <w:tl2br w:val="nil"/>
              <w:tr2bl w:val="nil"/>
            </w:tcBorders>
            <w:shd w:val="clear" w:color="auto" w:fill="auto"/>
            <w:vAlign w:val="center"/>
          </w:tcPr>
          <w:p w14:paraId="30B13D40">
            <w:pPr>
              <w:keepNext w:val="0"/>
              <w:keepLines w:val="0"/>
              <w:widowControl/>
              <w:suppressLineNumbers w:val="0"/>
              <w:spacing w:after="0" w:line="360" w:lineRule="auto"/>
              <w:jc w:val="center"/>
              <w:rPr>
                <w:rFonts w:ascii="Times New Roman" w:hAnsi="Times New Roman" w:eastAsia="等线" w:cs="Times New Roman"/>
                <w:bCs/>
                <w:color w:val="000000"/>
                <w:sz w:val="20"/>
                <w:szCs w:val="20"/>
              </w:rPr>
            </w:pPr>
            <w:r>
              <w:rPr>
                <w:rFonts w:hint="default" w:ascii="Times New Roman" w:hAnsi="Times New Roman" w:eastAsia="宋体" w:cs="Times New Roman"/>
                <w:i/>
                <w:iCs/>
                <w:color w:val="000000"/>
                <w:kern w:val="0"/>
                <w:sz w:val="20"/>
                <w:szCs w:val="20"/>
                <w:lang w:val="en-US" w:eastAsia="zh-CN" w:bidi="ar"/>
              </w:rPr>
              <w:t>HaTubulin</w:t>
            </w:r>
          </w:p>
        </w:tc>
        <w:tc>
          <w:tcPr>
            <w:tcW w:w="1690" w:type="pct"/>
            <w:tcBorders>
              <w:tl2br w:val="nil"/>
              <w:tr2bl w:val="nil"/>
            </w:tcBorders>
            <w:shd w:val="clear" w:color="auto" w:fill="auto"/>
            <w:vAlign w:val="center"/>
          </w:tcPr>
          <w:p w14:paraId="44282D40">
            <w:pPr>
              <w:keepNext w:val="0"/>
              <w:keepLines w:val="0"/>
              <w:widowControl/>
              <w:suppressLineNumbers w:val="0"/>
              <w:spacing w:after="0" w:line="360" w:lineRule="auto"/>
              <w:jc w:val="center"/>
              <w:rPr>
                <w:rFonts w:ascii="Times New Roman" w:hAnsi="Times New Roman" w:eastAsia="等线" w:cs="Times New Roman"/>
                <w:bCs/>
                <w:color w:val="000000"/>
                <w:sz w:val="20"/>
                <w:szCs w:val="20"/>
              </w:rPr>
            </w:pPr>
            <w:r>
              <w:rPr>
                <w:rFonts w:hint="default" w:ascii="Times New Roman" w:hAnsi="Times New Roman" w:eastAsia="宋体" w:cs="Times New Roman"/>
                <w:color w:val="000000"/>
                <w:kern w:val="0"/>
                <w:sz w:val="20"/>
                <w:szCs w:val="20"/>
                <w:lang w:val="en-US" w:eastAsia="zh-CN" w:bidi="ar"/>
              </w:rPr>
              <w:t>F: TGTTCCGTGGCAAAATGTCG</w:t>
            </w:r>
          </w:p>
        </w:tc>
        <w:tc>
          <w:tcPr>
            <w:tcW w:w="2728" w:type="pct"/>
            <w:vMerge w:val="restart"/>
            <w:tcBorders>
              <w:tl2br w:val="nil"/>
              <w:tr2bl w:val="nil"/>
            </w:tcBorders>
            <w:shd w:val="clear" w:color="auto" w:fill="auto"/>
            <w:vAlign w:val="center"/>
          </w:tcPr>
          <w:p w14:paraId="393DF243">
            <w:pPr>
              <w:keepNext w:val="0"/>
              <w:keepLines w:val="0"/>
              <w:widowControl/>
              <w:suppressLineNumbers w:val="0"/>
              <w:spacing w:after="0" w:line="360" w:lineRule="auto"/>
              <w:jc w:val="both"/>
              <w:rPr>
                <w:rFonts w:hint="default" w:ascii="Times New Roman" w:hAnsi="Times New Roman" w:eastAsia="等线" w:cs="Times New Roman"/>
                <w:bCs/>
                <w:color w:val="000000"/>
                <w:sz w:val="20"/>
                <w:szCs w:val="20"/>
                <w:lang w:val="en-US" w:eastAsia="zh-CN"/>
              </w:rPr>
            </w:pPr>
            <w:r>
              <w:rPr>
                <w:rFonts w:hint="default" w:ascii="Times New Roman" w:hAnsi="Times New Roman" w:eastAsia="等线" w:cs="Times New Roman"/>
                <w:bCs/>
                <w:color w:val="000000"/>
                <w:sz w:val="20"/>
                <w:szCs w:val="20"/>
              </w:rPr>
              <w:t>Internal reference gene, encoding β-tubulin, used for qPCR data normalization</w:t>
            </w:r>
            <w:r>
              <w:rPr>
                <w:rFonts w:hint="default" w:ascii="Times New Roman" w:hAnsi="Times New Roman" w:eastAsia="等线" w:cs="Times New Roman"/>
                <w:bCs/>
                <w:color w:val="000000"/>
                <w:sz w:val="20"/>
                <w:szCs w:val="20"/>
                <w:lang w:val="en-US" w:eastAsia="zh-CN"/>
              </w:rPr>
              <w:t>.</w:t>
            </w:r>
          </w:p>
        </w:tc>
      </w:tr>
      <w:tr w14:paraId="4C2E5A7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1" w:type="pct"/>
            <w:vMerge w:val="continue"/>
            <w:tcBorders>
              <w:tl2br w:val="nil"/>
              <w:tr2bl w:val="nil"/>
            </w:tcBorders>
            <w:shd w:val="clear" w:color="auto" w:fill="auto"/>
            <w:vAlign w:val="center"/>
          </w:tcPr>
          <w:p w14:paraId="3056C2CA">
            <w:pPr>
              <w:widowControl w:val="0"/>
              <w:spacing w:after="0" w:line="360" w:lineRule="auto"/>
              <w:jc w:val="center"/>
              <w:rPr>
                <w:sz w:val="20"/>
                <w:szCs w:val="20"/>
              </w:rPr>
            </w:pPr>
          </w:p>
        </w:tc>
        <w:tc>
          <w:tcPr>
            <w:tcW w:w="1690" w:type="pct"/>
            <w:tcBorders>
              <w:tl2br w:val="nil"/>
              <w:tr2bl w:val="nil"/>
            </w:tcBorders>
            <w:shd w:val="clear" w:color="auto" w:fill="auto"/>
            <w:vAlign w:val="center"/>
          </w:tcPr>
          <w:p w14:paraId="073ADDED">
            <w:pPr>
              <w:widowControl w:val="0"/>
              <w:spacing w:after="0" w:line="360" w:lineRule="auto"/>
              <w:jc w:val="center"/>
              <w:rPr>
                <w:rFonts w:ascii="Times New Roman" w:hAnsi="Times New Roman" w:eastAsia="等线" w:cs="Times New Roman"/>
                <w:bCs/>
                <w:color w:val="000000"/>
                <w:sz w:val="20"/>
                <w:szCs w:val="20"/>
              </w:rPr>
            </w:pPr>
            <w:r>
              <w:rPr>
                <w:rFonts w:hint="default" w:ascii="Times New Roman" w:hAnsi="Times New Roman" w:eastAsia="宋体" w:cs="Times New Roman"/>
                <w:color w:val="000000"/>
                <w:kern w:val="0"/>
                <w:sz w:val="20"/>
                <w:szCs w:val="20"/>
                <w:lang w:val="en-US" w:eastAsia="zh-CN" w:bidi="ar"/>
              </w:rPr>
              <w:t>R: CATTGAGAGTCCCGTAGGCG</w:t>
            </w:r>
          </w:p>
        </w:tc>
        <w:tc>
          <w:tcPr>
            <w:tcW w:w="2728" w:type="pct"/>
            <w:vMerge w:val="continue"/>
            <w:tcBorders>
              <w:tl2br w:val="nil"/>
              <w:tr2bl w:val="nil"/>
            </w:tcBorders>
            <w:shd w:val="clear" w:color="auto" w:fill="auto"/>
            <w:vAlign w:val="center"/>
          </w:tcPr>
          <w:p w14:paraId="09DD4894">
            <w:pPr>
              <w:widowControl w:val="0"/>
              <w:spacing w:after="0" w:line="360" w:lineRule="auto"/>
              <w:jc w:val="both"/>
              <w:rPr>
                <w:rFonts w:ascii="Times New Roman" w:hAnsi="Times New Roman" w:eastAsia="等线" w:cs="Times New Roman"/>
                <w:bCs/>
                <w:color w:val="000000"/>
                <w:sz w:val="20"/>
                <w:szCs w:val="20"/>
              </w:rPr>
            </w:pPr>
          </w:p>
        </w:tc>
      </w:tr>
      <w:tr w14:paraId="5C414B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581" w:type="pct"/>
            <w:vMerge w:val="restart"/>
            <w:tcBorders>
              <w:tl2br w:val="nil"/>
              <w:tr2bl w:val="nil"/>
            </w:tcBorders>
            <w:shd w:val="clear" w:color="auto" w:fill="auto"/>
            <w:vAlign w:val="center"/>
          </w:tcPr>
          <w:p w14:paraId="2FE38578">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i/>
                <w:iCs/>
                <w:color w:val="000000"/>
                <w:kern w:val="0"/>
                <w:sz w:val="20"/>
                <w:szCs w:val="20"/>
                <w:lang w:val="en-US" w:eastAsia="zh-CN" w:bidi="ar"/>
              </w:rPr>
              <w:t>HaECPP44</w:t>
            </w:r>
          </w:p>
        </w:tc>
        <w:tc>
          <w:tcPr>
            <w:tcW w:w="1690" w:type="pct"/>
            <w:tcBorders>
              <w:tl2br w:val="nil"/>
              <w:tr2bl w:val="nil"/>
            </w:tcBorders>
            <w:shd w:val="clear" w:color="auto" w:fill="auto"/>
            <w:vAlign w:val="center"/>
          </w:tcPr>
          <w:p w14:paraId="73E4525C">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F: CGTGGGTTGTTTGGTTTCGG</w:t>
            </w:r>
          </w:p>
        </w:tc>
        <w:tc>
          <w:tcPr>
            <w:tcW w:w="2728" w:type="pct"/>
            <w:vMerge w:val="restart"/>
            <w:tcBorders>
              <w:tl2br w:val="nil"/>
              <w:tr2bl w:val="nil"/>
            </w:tcBorders>
            <w:shd w:val="clear" w:color="auto" w:fill="auto"/>
            <w:vAlign w:val="center"/>
          </w:tcPr>
          <w:p w14:paraId="392F9269">
            <w:pPr>
              <w:keepNext w:val="0"/>
              <w:keepLines w:val="0"/>
              <w:widowControl/>
              <w:suppressLineNumbers w:val="0"/>
              <w:spacing w:after="0" w:line="360" w:lineRule="auto"/>
              <w:jc w:val="both"/>
              <w:rPr>
                <w:rFonts w:hint="eastAsia" w:ascii="Times New Roman" w:hAnsi="Times New Roman" w:eastAsia="等线" w:cs="Times New Roman"/>
                <w:bCs/>
                <w:color w:val="000000"/>
                <w:sz w:val="20"/>
                <w:szCs w:val="20"/>
                <w:lang w:val="en-US" w:eastAsia="zh-CN"/>
              </w:rPr>
            </w:pPr>
            <w:r>
              <w:rPr>
                <w:rFonts w:hint="default" w:ascii="Times New Roman" w:hAnsi="Times New Roman" w:eastAsia="等线" w:cs="Times New Roman"/>
                <w:bCs/>
                <w:color w:val="000000"/>
                <w:sz w:val="20"/>
                <w:szCs w:val="20"/>
                <w:lang w:val="en-US"/>
              </w:rPr>
              <w:t>Stress signaling-related protein, involved in ABA/MAPK signaling pathway activation</w:t>
            </w:r>
            <w:r>
              <w:rPr>
                <w:rFonts w:hint="eastAsia" w:ascii="Times New Roman" w:hAnsi="Times New Roman" w:eastAsia="等线" w:cs="Times New Roman"/>
                <w:bCs/>
                <w:color w:val="000000"/>
                <w:sz w:val="20"/>
                <w:szCs w:val="20"/>
                <w:lang w:val="en-US" w:eastAsia="zh-CN"/>
              </w:rPr>
              <w:t>.</w:t>
            </w:r>
          </w:p>
        </w:tc>
      </w:tr>
      <w:tr w14:paraId="3F6998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1" w:type="pct"/>
            <w:vMerge w:val="continue"/>
            <w:tcBorders>
              <w:tl2br w:val="nil"/>
              <w:tr2bl w:val="nil"/>
            </w:tcBorders>
            <w:shd w:val="clear" w:color="auto" w:fill="auto"/>
            <w:vAlign w:val="center"/>
          </w:tcPr>
          <w:p w14:paraId="0DE601DF">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p>
        </w:tc>
        <w:tc>
          <w:tcPr>
            <w:tcW w:w="1690" w:type="pct"/>
            <w:tcBorders>
              <w:tl2br w:val="nil"/>
              <w:tr2bl w:val="nil"/>
            </w:tcBorders>
            <w:shd w:val="clear" w:color="auto" w:fill="auto"/>
            <w:vAlign w:val="center"/>
          </w:tcPr>
          <w:p w14:paraId="340A836A">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R: TCAGGTTCGGGTTCAGTCAC</w:t>
            </w:r>
          </w:p>
        </w:tc>
        <w:tc>
          <w:tcPr>
            <w:tcW w:w="2728" w:type="pct"/>
            <w:vMerge w:val="continue"/>
            <w:tcBorders>
              <w:tl2br w:val="nil"/>
              <w:tr2bl w:val="nil"/>
            </w:tcBorders>
            <w:shd w:val="clear" w:color="auto" w:fill="auto"/>
            <w:vAlign w:val="center"/>
          </w:tcPr>
          <w:p w14:paraId="1D362CE7">
            <w:pPr>
              <w:widowControl w:val="0"/>
              <w:spacing w:after="0" w:line="360" w:lineRule="auto"/>
              <w:jc w:val="both"/>
              <w:rPr>
                <w:rFonts w:ascii="Times New Roman" w:hAnsi="Times New Roman" w:eastAsia="等线" w:cs="Times New Roman"/>
                <w:bCs/>
                <w:color w:val="000000"/>
                <w:sz w:val="20"/>
                <w:szCs w:val="20"/>
              </w:rPr>
            </w:pPr>
          </w:p>
        </w:tc>
      </w:tr>
      <w:tr w14:paraId="3447363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581" w:type="pct"/>
            <w:vMerge w:val="restart"/>
            <w:tcBorders>
              <w:tl2br w:val="nil"/>
              <w:tr2bl w:val="nil"/>
            </w:tcBorders>
            <w:shd w:val="clear" w:color="auto" w:fill="auto"/>
            <w:vAlign w:val="center"/>
          </w:tcPr>
          <w:p w14:paraId="713DA43F">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i/>
                <w:iCs/>
                <w:color w:val="000000"/>
                <w:kern w:val="0"/>
                <w:sz w:val="20"/>
                <w:szCs w:val="20"/>
                <w:lang w:val="en-US" w:eastAsia="zh-CN" w:bidi="ar"/>
              </w:rPr>
              <w:t>HaDREB2</w:t>
            </w:r>
          </w:p>
        </w:tc>
        <w:tc>
          <w:tcPr>
            <w:tcW w:w="1690" w:type="pct"/>
            <w:tcBorders>
              <w:tl2br w:val="nil"/>
              <w:tr2bl w:val="nil"/>
            </w:tcBorders>
            <w:shd w:val="clear" w:color="auto" w:fill="auto"/>
            <w:vAlign w:val="center"/>
          </w:tcPr>
          <w:p w14:paraId="33111CE6">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F: </w:t>
            </w:r>
            <w:r>
              <w:rPr>
                <w:rFonts w:hint="default" w:ascii="Times New Roman" w:hAnsi="Times New Roman" w:eastAsia="等线" w:cs="Times New Roman"/>
                <w:bCs/>
                <w:color w:val="000000"/>
                <w:kern w:val="2"/>
                <w:sz w:val="20"/>
                <w:szCs w:val="20"/>
                <w:lang w:val="en-US" w:eastAsia="zh-CN" w:bidi="ar-SA"/>
              </w:rPr>
              <w:t>ATTCGGCACGAGGCCCAAA</w:t>
            </w:r>
          </w:p>
        </w:tc>
        <w:tc>
          <w:tcPr>
            <w:tcW w:w="2728" w:type="pct"/>
            <w:vMerge w:val="restart"/>
            <w:tcBorders>
              <w:tl2br w:val="nil"/>
              <w:tr2bl w:val="nil"/>
            </w:tcBorders>
            <w:shd w:val="clear" w:color="auto" w:fill="auto"/>
            <w:vAlign w:val="center"/>
          </w:tcPr>
          <w:p w14:paraId="4B994DD2">
            <w:pPr>
              <w:keepNext w:val="0"/>
              <w:keepLines w:val="0"/>
              <w:widowControl/>
              <w:suppressLineNumbers w:val="0"/>
              <w:spacing w:after="0" w:line="360" w:lineRule="auto"/>
              <w:jc w:val="both"/>
              <w:rPr>
                <w:rFonts w:hint="default" w:ascii="Times New Roman" w:hAnsi="Times New Roman" w:eastAsia="等线" w:cs="Times New Roman"/>
                <w:bCs/>
                <w:color w:val="000000"/>
                <w:kern w:val="2"/>
                <w:sz w:val="20"/>
                <w:szCs w:val="20"/>
                <w:lang w:val="en-US" w:eastAsia="zh-CN" w:bidi="ar-SA"/>
              </w:rPr>
            </w:pPr>
            <w:r>
              <w:rPr>
                <w:rFonts w:hint="default" w:ascii="Times New Roman" w:hAnsi="Times New Roman" w:eastAsia="等线" w:cs="Times New Roman"/>
                <w:bCs/>
                <w:color w:val="000000"/>
                <w:kern w:val="2"/>
                <w:sz w:val="20"/>
                <w:szCs w:val="20"/>
                <w:lang w:val="en-US" w:eastAsia="zh-CN" w:bidi="ar-SA"/>
              </w:rPr>
              <w:t>DREB2 transcription factor, regulating downstream drought/salt tolerance genes</w:t>
            </w:r>
            <w:r>
              <w:rPr>
                <w:rFonts w:hint="eastAsia" w:ascii="Times New Roman" w:hAnsi="Times New Roman" w:eastAsia="等线" w:cs="Times New Roman"/>
                <w:bCs/>
                <w:color w:val="000000"/>
                <w:kern w:val="2"/>
                <w:sz w:val="20"/>
                <w:szCs w:val="20"/>
                <w:lang w:val="en-US" w:eastAsia="zh-CN" w:bidi="ar-SA"/>
              </w:rPr>
              <w:t>.</w:t>
            </w:r>
          </w:p>
        </w:tc>
      </w:tr>
      <w:tr w14:paraId="55F01E9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581" w:type="pct"/>
            <w:vMerge w:val="continue"/>
            <w:tcBorders>
              <w:tl2br w:val="nil"/>
              <w:tr2bl w:val="nil"/>
            </w:tcBorders>
            <w:shd w:val="clear" w:color="auto" w:fill="auto"/>
            <w:vAlign w:val="center"/>
          </w:tcPr>
          <w:p w14:paraId="00E3E15C">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p>
        </w:tc>
        <w:tc>
          <w:tcPr>
            <w:tcW w:w="1690" w:type="pct"/>
            <w:tcBorders>
              <w:tl2br w:val="nil"/>
              <w:tr2bl w:val="nil"/>
            </w:tcBorders>
            <w:shd w:val="clear" w:color="auto" w:fill="auto"/>
            <w:vAlign w:val="center"/>
          </w:tcPr>
          <w:p w14:paraId="0CBD6595">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R: </w:t>
            </w:r>
            <w:r>
              <w:rPr>
                <w:rFonts w:hint="default" w:ascii="Times New Roman" w:hAnsi="Times New Roman" w:eastAsia="等线" w:cs="Times New Roman"/>
                <w:bCs/>
                <w:color w:val="000000"/>
                <w:kern w:val="2"/>
                <w:sz w:val="20"/>
                <w:szCs w:val="20"/>
                <w:lang w:val="en-US" w:eastAsia="zh-CN" w:bidi="ar-SA"/>
              </w:rPr>
              <w:t>CCCTAACGCCATGAACAGCA</w:t>
            </w:r>
          </w:p>
        </w:tc>
        <w:tc>
          <w:tcPr>
            <w:tcW w:w="2728" w:type="pct"/>
            <w:vMerge w:val="continue"/>
            <w:tcBorders>
              <w:tl2br w:val="nil"/>
              <w:tr2bl w:val="nil"/>
            </w:tcBorders>
            <w:shd w:val="clear" w:color="auto" w:fill="auto"/>
            <w:vAlign w:val="center"/>
          </w:tcPr>
          <w:p w14:paraId="52764BBF">
            <w:pPr>
              <w:widowControl w:val="0"/>
              <w:spacing w:after="0" w:line="360" w:lineRule="auto"/>
              <w:jc w:val="center"/>
              <w:rPr>
                <w:rFonts w:ascii="Times New Roman" w:hAnsi="Times New Roman" w:eastAsia="等线" w:cs="Times New Roman"/>
                <w:bCs/>
                <w:color w:val="000000"/>
                <w:kern w:val="2"/>
                <w:sz w:val="20"/>
                <w:szCs w:val="20"/>
                <w:lang w:val="en-US" w:eastAsia="zh-CN" w:bidi="ar-SA"/>
              </w:rPr>
            </w:pPr>
          </w:p>
        </w:tc>
      </w:tr>
      <w:tr w14:paraId="1D5526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581" w:type="pct"/>
            <w:vMerge w:val="restart"/>
            <w:tcBorders>
              <w:tl2br w:val="nil"/>
              <w:tr2bl w:val="nil"/>
            </w:tcBorders>
            <w:shd w:val="clear" w:color="auto" w:fill="auto"/>
            <w:vAlign w:val="center"/>
          </w:tcPr>
          <w:p w14:paraId="4A7920A7">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i/>
                <w:iCs/>
                <w:color w:val="000000"/>
                <w:kern w:val="0"/>
                <w:sz w:val="20"/>
                <w:szCs w:val="20"/>
                <w:lang w:val="en-US" w:eastAsia="zh-CN" w:bidi="ar"/>
              </w:rPr>
              <w:t>HacytoSOD</w:t>
            </w:r>
          </w:p>
        </w:tc>
        <w:tc>
          <w:tcPr>
            <w:tcW w:w="1690" w:type="pct"/>
            <w:tcBorders>
              <w:tl2br w:val="nil"/>
              <w:tr2bl w:val="nil"/>
            </w:tcBorders>
            <w:shd w:val="clear" w:color="auto" w:fill="auto"/>
            <w:vAlign w:val="center"/>
          </w:tcPr>
          <w:p w14:paraId="5717621A">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F: GTGCCCCTGATGACGAGATT</w:t>
            </w:r>
          </w:p>
        </w:tc>
        <w:tc>
          <w:tcPr>
            <w:tcW w:w="2728" w:type="pct"/>
            <w:vMerge w:val="restart"/>
            <w:tcBorders>
              <w:tl2br w:val="nil"/>
              <w:tr2bl w:val="nil"/>
            </w:tcBorders>
            <w:shd w:val="clear" w:color="auto" w:fill="auto"/>
            <w:vAlign w:val="center"/>
          </w:tcPr>
          <w:p w14:paraId="584BC89D">
            <w:pPr>
              <w:keepNext w:val="0"/>
              <w:keepLines w:val="0"/>
              <w:widowControl/>
              <w:suppressLineNumbers w:val="0"/>
              <w:spacing w:after="0" w:line="360" w:lineRule="auto"/>
              <w:jc w:val="both"/>
              <w:rPr>
                <w:rFonts w:hint="eastAsia" w:ascii="Times New Roman" w:hAnsi="Times New Roman" w:eastAsia="等线" w:cs="Times New Roman"/>
                <w:bCs/>
                <w:color w:val="000000"/>
                <w:sz w:val="20"/>
                <w:szCs w:val="20"/>
                <w:lang w:val="en-US" w:eastAsia="zh-CN"/>
              </w:rPr>
            </w:pPr>
            <w:r>
              <w:rPr>
                <w:rFonts w:hint="eastAsia" w:ascii="Times New Roman" w:hAnsi="Times New Roman" w:eastAsia="等线" w:cs="Times New Roman"/>
                <w:bCs/>
                <w:color w:val="000000"/>
                <w:sz w:val="20"/>
                <w:szCs w:val="20"/>
              </w:rPr>
              <w:t>Cytoplasmic superoxide dismutase (Cu/Zn-SOD), scavenging superoxide anion radicals</w:t>
            </w:r>
            <w:r>
              <w:rPr>
                <w:rFonts w:hint="eastAsia" w:ascii="Times New Roman" w:hAnsi="Times New Roman" w:eastAsia="等线" w:cs="Times New Roman"/>
                <w:bCs/>
                <w:color w:val="000000"/>
                <w:sz w:val="20"/>
                <w:szCs w:val="20"/>
                <w:lang w:val="en-US" w:eastAsia="zh-CN"/>
              </w:rPr>
              <w:t>.</w:t>
            </w:r>
          </w:p>
        </w:tc>
      </w:tr>
      <w:tr w14:paraId="0C153C4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581" w:type="pct"/>
            <w:vMerge w:val="continue"/>
            <w:tcBorders>
              <w:tl2br w:val="nil"/>
              <w:tr2bl w:val="nil"/>
            </w:tcBorders>
            <w:shd w:val="clear" w:color="auto" w:fill="auto"/>
            <w:vAlign w:val="center"/>
          </w:tcPr>
          <w:p w14:paraId="0DE47541">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p>
        </w:tc>
        <w:tc>
          <w:tcPr>
            <w:tcW w:w="1690" w:type="pct"/>
            <w:tcBorders>
              <w:tl2br w:val="nil"/>
              <w:tr2bl w:val="nil"/>
            </w:tcBorders>
            <w:shd w:val="clear" w:color="auto" w:fill="auto"/>
            <w:vAlign w:val="center"/>
          </w:tcPr>
          <w:p w14:paraId="7829CC20">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R:GGACAACCACAGCTCTTCCA</w:t>
            </w:r>
          </w:p>
        </w:tc>
        <w:tc>
          <w:tcPr>
            <w:tcW w:w="2728" w:type="pct"/>
            <w:vMerge w:val="continue"/>
            <w:tcBorders>
              <w:tl2br w:val="nil"/>
              <w:tr2bl w:val="nil"/>
            </w:tcBorders>
            <w:shd w:val="clear" w:color="auto" w:fill="auto"/>
            <w:vAlign w:val="center"/>
          </w:tcPr>
          <w:p w14:paraId="580BD0FC">
            <w:pPr>
              <w:widowControl w:val="0"/>
              <w:spacing w:after="0" w:line="360" w:lineRule="auto"/>
              <w:jc w:val="center"/>
              <w:rPr>
                <w:rFonts w:ascii="Times New Roman" w:hAnsi="Times New Roman" w:eastAsia="等线" w:cs="Times New Roman"/>
                <w:bCs/>
                <w:color w:val="000000"/>
                <w:sz w:val="20"/>
                <w:szCs w:val="20"/>
              </w:rPr>
            </w:pPr>
          </w:p>
        </w:tc>
      </w:tr>
      <w:tr w14:paraId="4005AC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581" w:type="pct"/>
            <w:vMerge w:val="restart"/>
            <w:tcBorders>
              <w:tl2br w:val="nil"/>
              <w:tr2bl w:val="nil"/>
            </w:tcBorders>
            <w:shd w:val="clear" w:color="auto" w:fill="auto"/>
            <w:noWrap/>
            <w:vAlign w:val="center"/>
          </w:tcPr>
          <w:p w14:paraId="74577F57">
            <w:pPr>
              <w:keepNext w:val="0"/>
              <w:keepLines w:val="0"/>
              <w:widowControl/>
              <w:suppressLineNumbers w:val="0"/>
              <w:tabs>
                <w:tab w:val="left" w:pos="720"/>
              </w:tabs>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i/>
                <w:iCs/>
                <w:color w:val="000000"/>
                <w:kern w:val="0"/>
                <w:sz w:val="20"/>
                <w:szCs w:val="20"/>
                <w:lang w:val="en-US" w:eastAsia="zh-CN" w:bidi="ar"/>
              </w:rPr>
              <w:t>HaAKT1</w:t>
            </w:r>
          </w:p>
        </w:tc>
        <w:tc>
          <w:tcPr>
            <w:tcW w:w="1690" w:type="pct"/>
            <w:tcBorders>
              <w:tl2br w:val="nil"/>
              <w:tr2bl w:val="nil"/>
            </w:tcBorders>
            <w:shd w:val="clear" w:color="auto" w:fill="auto"/>
            <w:noWrap/>
            <w:vAlign w:val="center"/>
          </w:tcPr>
          <w:p w14:paraId="236E879A">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F: AGCGGCGTCACAAGGAAATA</w:t>
            </w:r>
          </w:p>
        </w:tc>
        <w:tc>
          <w:tcPr>
            <w:tcW w:w="2728" w:type="pct"/>
            <w:vMerge w:val="restart"/>
            <w:tcBorders>
              <w:tl2br w:val="nil"/>
              <w:tr2bl w:val="nil"/>
            </w:tcBorders>
            <w:shd w:val="clear" w:color="auto" w:fill="auto"/>
            <w:noWrap/>
            <w:vAlign w:val="center"/>
          </w:tcPr>
          <w:p w14:paraId="267E791D">
            <w:pPr>
              <w:keepNext w:val="0"/>
              <w:keepLines w:val="0"/>
              <w:widowControl/>
              <w:suppressLineNumbers w:val="0"/>
              <w:spacing w:after="0" w:line="360" w:lineRule="auto"/>
              <w:jc w:val="both"/>
              <w:rPr>
                <w:rFonts w:hint="eastAsia" w:ascii="Times New Roman" w:hAnsi="Times New Roman" w:eastAsia="等线" w:cs="Times New Roman"/>
                <w:bCs/>
                <w:color w:val="000000"/>
                <w:sz w:val="20"/>
                <w:szCs w:val="20"/>
                <w:lang w:val="en-US" w:eastAsia="zh-CN"/>
              </w:rPr>
            </w:pPr>
            <w:r>
              <w:rPr>
                <w:rFonts w:hint="eastAsia" w:ascii="Times New Roman" w:hAnsi="Times New Roman" w:eastAsia="等线" w:cs="Times New Roman"/>
                <w:bCs/>
                <w:color w:val="000000"/>
                <w:sz w:val="20"/>
                <w:szCs w:val="20"/>
              </w:rPr>
              <w:t>Inward-rectifying</w:t>
            </w:r>
            <w:r>
              <w:rPr>
                <w:rFonts w:hint="eastAsia" w:ascii="Times New Roman" w:hAnsi="Times New Roman" w:eastAsia="等线" w:cs="Times New Roman"/>
                <w:bCs/>
                <w:color w:val="000000"/>
                <w:sz w:val="20"/>
                <w:szCs w:val="20"/>
                <w:lang w:val="en-US" w:eastAsia="zh-CN"/>
              </w:rPr>
              <w:t xml:space="preserve"> </w:t>
            </w:r>
            <w:r>
              <w:rPr>
                <w:rFonts w:hint="eastAsia" w:ascii="Times New Roman" w:hAnsi="Times New Roman" w:eastAsia="等线" w:cs="Times New Roman"/>
                <w:bCs/>
                <w:color w:val="000000"/>
                <w:sz w:val="20"/>
                <w:szCs w:val="20"/>
              </w:rPr>
              <w:t>K</w:t>
            </w:r>
            <w:r>
              <w:rPr>
                <w:rFonts w:hint="eastAsia" w:ascii="Times New Roman" w:hAnsi="Times New Roman" w:eastAsia="等线" w:cs="Times New Roman"/>
                <w:bCs/>
                <w:color w:val="000000"/>
                <w:sz w:val="20"/>
                <w:szCs w:val="20"/>
                <w:vertAlign w:val="superscript"/>
                <w:lang w:val="en-US" w:eastAsia="zh-CN"/>
              </w:rPr>
              <w:t>+</w:t>
            </w:r>
            <w:r>
              <w:rPr>
                <w:rFonts w:hint="eastAsia" w:ascii="Times New Roman" w:hAnsi="Times New Roman" w:eastAsia="等线" w:cs="Times New Roman"/>
                <w:bCs/>
                <w:color w:val="000000"/>
                <w:sz w:val="20"/>
                <w:szCs w:val="20"/>
                <w:lang w:val="en-US" w:eastAsia="zh-CN"/>
              </w:rPr>
              <w:t xml:space="preserve"> </w:t>
            </w:r>
            <w:r>
              <w:rPr>
                <w:rFonts w:hint="eastAsia" w:ascii="Times New Roman" w:hAnsi="Times New Roman" w:eastAsia="等线" w:cs="Times New Roman"/>
                <w:bCs/>
                <w:color w:val="000000"/>
                <w:sz w:val="20"/>
                <w:szCs w:val="20"/>
              </w:rPr>
              <w:t>channel protein, mediating root K</w:t>
            </w:r>
            <w:r>
              <w:rPr>
                <w:rFonts w:hint="eastAsia" w:ascii="Times New Roman" w:hAnsi="Times New Roman" w:eastAsia="等线" w:cs="Times New Roman"/>
                <w:bCs/>
                <w:color w:val="000000"/>
                <w:sz w:val="20"/>
                <w:szCs w:val="20"/>
                <w:vertAlign w:val="superscript"/>
                <w:lang w:val="en-US" w:eastAsia="zh-CN"/>
              </w:rPr>
              <w:t>+</w:t>
            </w:r>
            <w:r>
              <w:rPr>
                <w:rFonts w:hint="eastAsia" w:ascii="Times New Roman" w:hAnsi="Times New Roman" w:eastAsia="等线" w:cs="Times New Roman"/>
                <w:bCs/>
                <w:color w:val="000000"/>
                <w:sz w:val="20"/>
                <w:szCs w:val="20"/>
              </w:rPr>
              <w:t xml:space="preserve"> uptake and maintaining K</w:t>
            </w:r>
            <w:r>
              <w:rPr>
                <w:rFonts w:hint="eastAsia" w:ascii="Times New Roman" w:hAnsi="Times New Roman" w:eastAsia="等线" w:cs="Times New Roman"/>
                <w:bCs/>
                <w:color w:val="000000"/>
                <w:sz w:val="20"/>
                <w:szCs w:val="20"/>
                <w:vertAlign w:val="superscript"/>
                <w:lang w:val="en-US" w:eastAsia="zh-CN"/>
              </w:rPr>
              <w:t>+</w:t>
            </w:r>
            <w:r>
              <w:rPr>
                <w:rFonts w:hint="eastAsia" w:ascii="Times New Roman" w:hAnsi="Times New Roman" w:eastAsia="等线" w:cs="Times New Roman"/>
                <w:bCs/>
                <w:color w:val="000000"/>
                <w:sz w:val="20"/>
                <w:szCs w:val="20"/>
              </w:rPr>
              <w:t>/Na</w:t>
            </w:r>
            <w:r>
              <w:rPr>
                <w:rFonts w:hint="eastAsia" w:ascii="Times New Roman" w:hAnsi="Times New Roman" w:eastAsia="等线" w:cs="Times New Roman"/>
                <w:bCs/>
                <w:color w:val="000000"/>
                <w:sz w:val="20"/>
                <w:szCs w:val="20"/>
                <w:vertAlign w:val="superscript"/>
                <w:lang w:val="en-US" w:eastAsia="zh-CN"/>
              </w:rPr>
              <w:t>+</w:t>
            </w:r>
            <w:r>
              <w:rPr>
                <w:rFonts w:hint="eastAsia" w:ascii="Times New Roman" w:hAnsi="Times New Roman" w:eastAsia="等线" w:cs="Times New Roman"/>
                <w:bCs/>
                <w:color w:val="000000"/>
                <w:sz w:val="20"/>
                <w:szCs w:val="20"/>
              </w:rPr>
              <w:t xml:space="preserve"> homeostasis</w:t>
            </w:r>
            <w:r>
              <w:rPr>
                <w:rFonts w:hint="eastAsia" w:ascii="Times New Roman" w:hAnsi="Times New Roman" w:eastAsia="等线" w:cs="Times New Roman"/>
                <w:bCs/>
                <w:color w:val="000000"/>
                <w:sz w:val="20"/>
                <w:szCs w:val="20"/>
                <w:lang w:val="en-US" w:eastAsia="zh-CN"/>
              </w:rPr>
              <w:t>.</w:t>
            </w:r>
          </w:p>
        </w:tc>
      </w:tr>
      <w:tr w14:paraId="7C4ACB8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581" w:type="pct"/>
            <w:vMerge w:val="continue"/>
            <w:tcBorders>
              <w:tl2br w:val="nil"/>
              <w:tr2bl w:val="nil"/>
            </w:tcBorders>
            <w:shd w:val="clear" w:color="auto" w:fill="auto"/>
            <w:noWrap/>
            <w:vAlign w:val="center"/>
          </w:tcPr>
          <w:p w14:paraId="375834EB">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p>
        </w:tc>
        <w:tc>
          <w:tcPr>
            <w:tcW w:w="1690" w:type="pct"/>
            <w:tcBorders>
              <w:tl2br w:val="nil"/>
              <w:tr2bl w:val="nil"/>
            </w:tcBorders>
            <w:shd w:val="clear" w:color="auto" w:fill="auto"/>
            <w:noWrap/>
            <w:vAlign w:val="center"/>
          </w:tcPr>
          <w:p w14:paraId="6E6203CB">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R: TCGCCGGATAATAAGGTGGC</w:t>
            </w:r>
          </w:p>
        </w:tc>
        <w:tc>
          <w:tcPr>
            <w:tcW w:w="2728" w:type="pct"/>
            <w:vMerge w:val="continue"/>
            <w:tcBorders>
              <w:tl2br w:val="nil"/>
              <w:tr2bl w:val="nil"/>
            </w:tcBorders>
            <w:shd w:val="clear" w:color="auto" w:fill="auto"/>
            <w:noWrap/>
            <w:vAlign w:val="center"/>
          </w:tcPr>
          <w:p w14:paraId="3FA9C50B">
            <w:pPr>
              <w:widowControl w:val="0"/>
              <w:spacing w:after="0" w:line="360" w:lineRule="auto"/>
              <w:jc w:val="center"/>
              <w:rPr>
                <w:rFonts w:ascii="Times New Roman" w:hAnsi="Times New Roman" w:eastAsia="等线" w:cs="Times New Roman"/>
                <w:bCs/>
                <w:color w:val="000000"/>
                <w:sz w:val="20"/>
                <w:szCs w:val="20"/>
              </w:rPr>
            </w:pPr>
          </w:p>
        </w:tc>
      </w:tr>
      <w:tr w14:paraId="3F220BD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581" w:type="pct"/>
            <w:vMerge w:val="restart"/>
            <w:tcBorders>
              <w:tl2br w:val="nil"/>
              <w:tr2bl w:val="nil"/>
            </w:tcBorders>
            <w:shd w:val="clear" w:color="auto" w:fill="auto"/>
            <w:noWrap/>
            <w:vAlign w:val="center"/>
          </w:tcPr>
          <w:p w14:paraId="7345B34E">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i/>
                <w:iCs/>
                <w:color w:val="000000"/>
                <w:kern w:val="0"/>
                <w:sz w:val="20"/>
                <w:szCs w:val="20"/>
                <w:lang w:val="en-US" w:eastAsia="zh-CN" w:bidi="ar"/>
              </w:rPr>
              <w:t>HaHKT1</w:t>
            </w:r>
          </w:p>
        </w:tc>
        <w:tc>
          <w:tcPr>
            <w:tcW w:w="1690" w:type="pct"/>
            <w:tcBorders>
              <w:tl2br w:val="nil"/>
              <w:tr2bl w:val="nil"/>
            </w:tcBorders>
            <w:shd w:val="clear" w:color="auto" w:fill="auto"/>
            <w:noWrap/>
            <w:vAlign w:val="center"/>
          </w:tcPr>
          <w:p w14:paraId="5538A952">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F: TGGAGCGATGAGGGGAAACT</w:t>
            </w:r>
          </w:p>
        </w:tc>
        <w:tc>
          <w:tcPr>
            <w:tcW w:w="2728" w:type="pct"/>
            <w:vMerge w:val="restart"/>
            <w:tcBorders>
              <w:tl2br w:val="nil"/>
              <w:tr2bl w:val="nil"/>
            </w:tcBorders>
            <w:shd w:val="clear" w:color="auto" w:fill="auto"/>
            <w:noWrap/>
            <w:vAlign w:val="center"/>
          </w:tcPr>
          <w:p w14:paraId="19492006">
            <w:pPr>
              <w:keepNext w:val="0"/>
              <w:keepLines w:val="0"/>
              <w:widowControl/>
              <w:suppressLineNumbers w:val="0"/>
              <w:spacing w:after="0" w:line="360" w:lineRule="auto"/>
              <w:jc w:val="both"/>
              <w:rPr>
                <w:rFonts w:hint="eastAsia" w:ascii="Times New Roman" w:hAnsi="Times New Roman" w:eastAsia="等线" w:cs="Times New Roman"/>
                <w:bCs/>
                <w:color w:val="000000"/>
                <w:sz w:val="20"/>
                <w:szCs w:val="20"/>
                <w:lang w:val="en-US" w:eastAsia="zh-CN"/>
              </w:rPr>
            </w:pPr>
            <w:r>
              <w:rPr>
                <w:rFonts w:hint="eastAsia" w:ascii="Times New Roman" w:hAnsi="Times New Roman" w:eastAsia="等线" w:cs="Times New Roman"/>
                <w:bCs/>
                <w:color w:val="000000"/>
                <w:sz w:val="20"/>
                <w:szCs w:val="20"/>
              </w:rPr>
              <w:t>High-affinity K</w:t>
            </w:r>
            <w:r>
              <w:rPr>
                <w:rFonts w:hint="eastAsia" w:ascii="Times New Roman" w:hAnsi="Times New Roman" w:eastAsia="等线" w:cs="Times New Roman"/>
                <w:bCs/>
                <w:color w:val="000000"/>
                <w:sz w:val="20"/>
                <w:szCs w:val="20"/>
                <w:vertAlign w:val="superscript"/>
                <w:lang w:val="en-US" w:eastAsia="zh-CN"/>
              </w:rPr>
              <w:t>+</w:t>
            </w:r>
            <w:r>
              <w:rPr>
                <w:rFonts w:hint="eastAsia" w:ascii="Times New Roman" w:hAnsi="Times New Roman" w:eastAsia="等线" w:cs="Times New Roman"/>
                <w:bCs/>
                <w:color w:val="000000"/>
                <w:sz w:val="20"/>
                <w:szCs w:val="20"/>
              </w:rPr>
              <w:t xml:space="preserve"> transporter, mediating Na</w:t>
            </w:r>
            <w:r>
              <w:rPr>
                <w:rFonts w:hint="eastAsia" w:ascii="Times New Roman" w:hAnsi="Times New Roman" w:eastAsia="等线" w:cs="Times New Roman"/>
                <w:bCs/>
                <w:color w:val="000000"/>
                <w:sz w:val="20"/>
                <w:szCs w:val="20"/>
                <w:vertAlign w:val="superscript"/>
                <w:lang w:val="en-US" w:eastAsia="zh-CN"/>
              </w:rPr>
              <w:t>+</w:t>
            </w:r>
            <w:r>
              <w:rPr>
                <w:rFonts w:hint="eastAsia" w:ascii="Times New Roman" w:hAnsi="Times New Roman" w:eastAsia="等线" w:cs="Times New Roman"/>
                <w:bCs/>
                <w:color w:val="000000"/>
                <w:sz w:val="20"/>
                <w:szCs w:val="20"/>
              </w:rPr>
              <w:t xml:space="preserve"> unloading from xylem and reducing shoot Na</w:t>
            </w:r>
            <w:r>
              <w:rPr>
                <w:rFonts w:hint="eastAsia" w:ascii="Times New Roman" w:hAnsi="Times New Roman" w:eastAsia="等线" w:cs="Times New Roman"/>
                <w:bCs/>
                <w:color w:val="000000"/>
                <w:sz w:val="20"/>
                <w:szCs w:val="20"/>
                <w:vertAlign w:val="superscript"/>
                <w:lang w:val="en-US" w:eastAsia="zh-CN"/>
              </w:rPr>
              <w:t>+</w:t>
            </w:r>
            <w:r>
              <w:rPr>
                <w:rFonts w:hint="eastAsia" w:ascii="Times New Roman" w:hAnsi="Times New Roman" w:eastAsia="等线" w:cs="Times New Roman"/>
                <w:bCs/>
                <w:color w:val="000000"/>
                <w:sz w:val="20"/>
                <w:szCs w:val="20"/>
              </w:rPr>
              <w:t xml:space="preserve"> accumulation</w:t>
            </w:r>
            <w:r>
              <w:rPr>
                <w:rFonts w:hint="eastAsia" w:ascii="Times New Roman" w:hAnsi="Times New Roman" w:eastAsia="等线" w:cs="Times New Roman"/>
                <w:bCs/>
                <w:color w:val="000000"/>
                <w:sz w:val="20"/>
                <w:szCs w:val="20"/>
                <w:lang w:val="en-US" w:eastAsia="zh-CN"/>
              </w:rPr>
              <w:t>.</w:t>
            </w:r>
          </w:p>
        </w:tc>
      </w:tr>
      <w:tr w14:paraId="7910C55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581" w:type="pct"/>
            <w:vMerge w:val="continue"/>
            <w:tcBorders>
              <w:tl2br w:val="nil"/>
              <w:tr2bl w:val="nil"/>
            </w:tcBorders>
            <w:shd w:val="clear" w:color="auto" w:fill="auto"/>
            <w:noWrap/>
            <w:vAlign w:val="center"/>
          </w:tcPr>
          <w:p w14:paraId="74281DC1">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p>
        </w:tc>
        <w:tc>
          <w:tcPr>
            <w:tcW w:w="1690" w:type="pct"/>
            <w:tcBorders>
              <w:tl2br w:val="nil"/>
              <w:tr2bl w:val="nil"/>
            </w:tcBorders>
            <w:shd w:val="clear" w:color="auto" w:fill="auto"/>
            <w:noWrap/>
            <w:vAlign w:val="center"/>
          </w:tcPr>
          <w:p w14:paraId="4058385A">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R: TCCATGCTTTGCCTCCCTTC</w:t>
            </w:r>
          </w:p>
        </w:tc>
        <w:tc>
          <w:tcPr>
            <w:tcW w:w="2728" w:type="pct"/>
            <w:vMerge w:val="continue"/>
            <w:tcBorders>
              <w:tl2br w:val="nil"/>
              <w:tr2bl w:val="nil"/>
            </w:tcBorders>
            <w:shd w:val="clear" w:color="auto" w:fill="auto"/>
            <w:noWrap/>
            <w:vAlign w:val="center"/>
          </w:tcPr>
          <w:p w14:paraId="01B83C7E">
            <w:pPr>
              <w:widowControl w:val="0"/>
              <w:spacing w:after="0" w:line="360" w:lineRule="auto"/>
              <w:jc w:val="center"/>
              <w:rPr>
                <w:rFonts w:ascii="Times New Roman" w:hAnsi="Times New Roman" w:eastAsia="等线" w:cs="Times New Roman"/>
                <w:bCs/>
                <w:color w:val="000000"/>
                <w:sz w:val="20"/>
                <w:szCs w:val="20"/>
              </w:rPr>
            </w:pPr>
          </w:p>
        </w:tc>
      </w:tr>
      <w:tr w14:paraId="0BF034C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581" w:type="pct"/>
            <w:vMerge w:val="restart"/>
            <w:tcBorders>
              <w:tl2br w:val="nil"/>
              <w:tr2bl w:val="nil"/>
            </w:tcBorders>
            <w:shd w:val="clear" w:color="auto" w:fill="auto"/>
            <w:noWrap/>
            <w:vAlign w:val="center"/>
          </w:tcPr>
          <w:p w14:paraId="3E5001A1">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i/>
                <w:iCs/>
                <w:color w:val="000000"/>
                <w:kern w:val="0"/>
                <w:sz w:val="20"/>
                <w:szCs w:val="20"/>
                <w:lang w:val="en-US" w:eastAsia="zh-CN" w:bidi="ar"/>
              </w:rPr>
              <w:t>HaNHX1</w:t>
            </w:r>
          </w:p>
        </w:tc>
        <w:tc>
          <w:tcPr>
            <w:tcW w:w="1690" w:type="pct"/>
            <w:tcBorders>
              <w:tl2br w:val="nil"/>
              <w:tr2bl w:val="nil"/>
            </w:tcBorders>
            <w:shd w:val="clear" w:color="auto" w:fill="auto"/>
            <w:noWrap/>
            <w:vAlign w:val="center"/>
          </w:tcPr>
          <w:p w14:paraId="773B5675">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F: ACAGTCGAACACTCTCCTTCTTTAC</w:t>
            </w:r>
          </w:p>
        </w:tc>
        <w:tc>
          <w:tcPr>
            <w:tcW w:w="2728" w:type="pct"/>
            <w:vMerge w:val="restart"/>
            <w:tcBorders>
              <w:tl2br w:val="nil"/>
              <w:tr2bl w:val="nil"/>
            </w:tcBorders>
            <w:shd w:val="clear" w:color="auto" w:fill="auto"/>
            <w:noWrap/>
            <w:vAlign w:val="center"/>
          </w:tcPr>
          <w:p w14:paraId="7DBCFCCE">
            <w:pPr>
              <w:keepNext w:val="0"/>
              <w:keepLines w:val="0"/>
              <w:widowControl/>
              <w:suppressLineNumbers w:val="0"/>
              <w:spacing w:after="0" w:line="360" w:lineRule="auto"/>
              <w:jc w:val="both"/>
              <w:rPr>
                <w:rFonts w:hint="eastAsia" w:ascii="Times New Roman" w:hAnsi="Times New Roman" w:eastAsia="等线" w:cs="Times New Roman"/>
                <w:bCs/>
                <w:color w:val="000000"/>
                <w:sz w:val="20"/>
                <w:szCs w:val="20"/>
                <w:lang w:val="en-US" w:eastAsia="zh-CN"/>
              </w:rPr>
            </w:pPr>
            <w:r>
              <w:rPr>
                <w:rFonts w:hint="eastAsia" w:ascii="Times New Roman" w:hAnsi="Times New Roman" w:eastAsia="等线" w:cs="Times New Roman"/>
                <w:bCs/>
                <w:color w:val="000000"/>
                <w:sz w:val="20"/>
                <w:szCs w:val="20"/>
              </w:rPr>
              <w:t>Vacuolar Na</w:t>
            </w:r>
            <w:r>
              <w:rPr>
                <w:rFonts w:hint="eastAsia" w:ascii="Times New Roman" w:hAnsi="Times New Roman" w:eastAsia="等线" w:cs="Times New Roman"/>
                <w:bCs/>
                <w:color w:val="000000"/>
                <w:sz w:val="20"/>
                <w:szCs w:val="20"/>
                <w:vertAlign w:val="superscript"/>
                <w:lang w:val="en-US" w:eastAsia="zh-CN"/>
              </w:rPr>
              <w:t>+</w:t>
            </w:r>
            <w:r>
              <w:rPr>
                <w:rFonts w:hint="eastAsia" w:ascii="Times New Roman" w:hAnsi="Times New Roman" w:eastAsia="等线" w:cs="Times New Roman"/>
                <w:bCs/>
                <w:color w:val="000000"/>
                <w:sz w:val="20"/>
                <w:szCs w:val="20"/>
              </w:rPr>
              <w:t>/H</w:t>
            </w:r>
            <w:r>
              <w:rPr>
                <w:rFonts w:hint="eastAsia" w:ascii="Times New Roman" w:hAnsi="Times New Roman" w:eastAsia="等线" w:cs="Times New Roman"/>
                <w:bCs/>
                <w:color w:val="000000"/>
                <w:sz w:val="20"/>
                <w:szCs w:val="20"/>
                <w:vertAlign w:val="superscript"/>
                <w:lang w:val="en-US" w:eastAsia="zh-CN"/>
              </w:rPr>
              <w:t>+</w:t>
            </w:r>
            <w:r>
              <w:rPr>
                <w:rFonts w:hint="eastAsia" w:ascii="Times New Roman" w:hAnsi="Times New Roman" w:eastAsia="等线" w:cs="Times New Roman"/>
                <w:bCs/>
                <w:color w:val="000000"/>
                <w:sz w:val="20"/>
                <w:szCs w:val="20"/>
              </w:rPr>
              <w:t xml:space="preserve"> antiporter, compartmentalizing cytosolic Na</w:t>
            </w:r>
            <w:r>
              <w:rPr>
                <w:rFonts w:hint="eastAsia" w:ascii="Times New Roman" w:hAnsi="Times New Roman" w:eastAsia="等线" w:cs="Times New Roman"/>
                <w:bCs/>
                <w:color w:val="000000"/>
                <w:sz w:val="20"/>
                <w:szCs w:val="20"/>
                <w:vertAlign w:val="superscript"/>
                <w:lang w:val="en-US" w:eastAsia="zh-CN"/>
              </w:rPr>
              <w:t>+</w:t>
            </w:r>
            <w:r>
              <w:rPr>
                <w:rFonts w:hint="eastAsia" w:ascii="Times New Roman" w:hAnsi="Times New Roman" w:eastAsia="等线" w:cs="Times New Roman"/>
                <w:bCs/>
                <w:color w:val="000000"/>
                <w:sz w:val="20"/>
                <w:szCs w:val="20"/>
              </w:rPr>
              <w:t xml:space="preserve"> into vacuoles</w:t>
            </w:r>
            <w:r>
              <w:rPr>
                <w:rFonts w:hint="eastAsia" w:ascii="Times New Roman" w:hAnsi="Times New Roman" w:eastAsia="等线" w:cs="Times New Roman"/>
                <w:bCs/>
                <w:color w:val="000000"/>
                <w:sz w:val="20"/>
                <w:szCs w:val="20"/>
                <w:lang w:val="en-US" w:eastAsia="zh-CN"/>
              </w:rPr>
              <w:t>.</w:t>
            </w:r>
          </w:p>
        </w:tc>
      </w:tr>
      <w:tr w14:paraId="001B2EE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581" w:type="pct"/>
            <w:vMerge w:val="continue"/>
            <w:tcBorders>
              <w:tl2br w:val="nil"/>
              <w:tr2bl w:val="nil"/>
            </w:tcBorders>
            <w:shd w:val="clear" w:color="auto" w:fill="auto"/>
            <w:noWrap/>
            <w:vAlign w:val="center"/>
          </w:tcPr>
          <w:p w14:paraId="18A61E99">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p>
        </w:tc>
        <w:tc>
          <w:tcPr>
            <w:tcW w:w="1690" w:type="pct"/>
            <w:tcBorders>
              <w:tl2br w:val="nil"/>
              <w:tr2bl w:val="nil"/>
            </w:tcBorders>
            <w:shd w:val="clear" w:color="auto" w:fill="auto"/>
            <w:noWrap/>
            <w:vAlign w:val="center"/>
          </w:tcPr>
          <w:p w14:paraId="58C4802F">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R: GGCCAGTCGAATCACAAACTTC</w:t>
            </w:r>
          </w:p>
        </w:tc>
        <w:tc>
          <w:tcPr>
            <w:tcW w:w="2728" w:type="pct"/>
            <w:vMerge w:val="continue"/>
            <w:tcBorders>
              <w:tl2br w:val="nil"/>
              <w:tr2bl w:val="nil"/>
            </w:tcBorders>
            <w:shd w:val="clear" w:color="auto" w:fill="auto"/>
            <w:noWrap/>
          </w:tcPr>
          <w:p w14:paraId="5BBFF093">
            <w:pPr>
              <w:widowControl w:val="0"/>
              <w:spacing w:after="0" w:line="360" w:lineRule="auto"/>
              <w:jc w:val="center"/>
              <w:rPr>
                <w:rFonts w:ascii="Times New Roman" w:hAnsi="Times New Roman" w:eastAsia="等线" w:cs="Times New Roman"/>
                <w:bCs/>
                <w:color w:val="000000"/>
                <w:sz w:val="18"/>
                <w:szCs w:val="18"/>
              </w:rPr>
            </w:pPr>
          </w:p>
        </w:tc>
      </w:tr>
      <w:tr w14:paraId="05DEA65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581" w:type="pct"/>
            <w:vMerge w:val="restart"/>
            <w:tcBorders>
              <w:tl2br w:val="nil"/>
              <w:tr2bl w:val="nil"/>
            </w:tcBorders>
            <w:shd w:val="clear" w:color="auto" w:fill="auto"/>
            <w:noWrap/>
            <w:vAlign w:val="center"/>
          </w:tcPr>
          <w:p w14:paraId="0F22FCDF">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i/>
                <w:iCs/>
                <w:color w:val="000000"/>
                <w:kern w:val="0"/>
                <w:sz w:val="20"/>
                <w:szCs w:val="20"/>
                <w:lang w:val="en-US" w:eastAsia="zh-CN" w:bidi="ar"/>
              </w:rPr>
              <w:t>HaSO2</w:t>
            </w:r>
          </w:p>
        </w:tc>
        <w:tc>
          <w:tcPr>
            <w:tcW w:w="1690" w:type="pct"/>
            <w:tcBorders>
              <w:tl2br w:val="nil"/>
              <w:tr2bl w:val="nil"/>
            </w:tcBorders>
            <w:shd w:val="clear" w:color="auto" w:fill="auto"/>
            <w:noWrap/>
            <w:vAlign w:val="center"/>
          </w:tcPr>
          <w:p w14:paraId="0C09E6F6">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F: TCACGCAAGCCAGCTAAAGA</w:t>
            </w:r>
          </w:p>
        </w:tc>
        <w:tc>
          <w:tcPr>
            <w:tcW w:w="2728" w:type="pct"/>
            <w:vMerge w:val="restart"/>
            <w:tcBorders>
              <w:tl2br w:val="nil"/>
              <w:tr2bl w:val="nil"/>
            </w:tcBorders>
            <w:shd w:val="clear" w:color="auto" w:fill="auto"/>
            <w:noWrap/>
          </w:tcPr>
          <w:p w14:paraId="59FFEAC0">
            <w:pPr>
              <w:widowControl w:val="0"/>
              <w:spacing w:after="0" w:line="360" w:lineRule="auto"/>
              <w:jc w:val="both"/>
              <w:rPr>
                <w:rFonts w:hint="eastAsia" w:ascii="Times New Roman" w:hAnsi="Times New Roman" w:eastAsia="等线" w:cs="Times New Roman"/>
                <w:bCs/>
                <w:color w:val="000000"/>
                <w:sz w:val="18"/>
                <w:szCs w:val="18"/>
                <w:lang w:val="en-US" w:eastAsia="zh-CN"/>
              </w:rPr>
            </w:pPr>
            <w:r>
              <w:rPr>
                <w:rFonts w:hint="eastAsia" w:ascii="Times New Roman" w:hAnsi="Times New Roman" w:eastAsia="等线" w:cs="Times New Roman"/>
                <w:bCs/>
                <w:color w:val="000000"/>
                <w:sz w:val="18"/>
                <w:szCs w:val="18"/>
              </w:rPr>
              <w:t>Osmotic re</w:t>
            </w:r>
            <w:bookmarkStart w:id="0" w:name="_GoBack"/>
            <w:bookmarkEnd w:id="0"/>
            <w:r>
              <w:rPr>
                <w:rFonts w:hint="eastAsia" w:ascii="Times New Roman" w:hAnsi="Times New Roman" w:eastAsia="等线" w:cs="Times New Roman"/>
                <w:bCs/>
                <w:color w:val="000000"/>
                <w:sz w:val="18"/>
                <w:szCs w:val="18"/>
              </w:rPr>
              <w:t>gulation/stress-responsive protein (function not fully annotated)</w:t>
            </w:r>
            <w:r>
              <w:rPr>
                <w:rFonts w:hint="eastAsia" w:ascii="Times New Roman" w:hAnsi="Times New Roman" w:eastAsia="等线" w:cs="Times New Roman"/>
                <w:bCs/>
                <w:color w:val="000000"/>
                <w:sz w:val="18"/>
                <w:szCs w:val="18"/>
                <w:lang w:val="en-US" w:eastAsia="zh-CN"/>
              </w:rPr>
              <w:t>.</w:t>
            </w:r>
          </w:p>
        </w:tc>
      </w:tr>
      <w:tr w14:paraId="2652DD2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 w:hRule="atLeast"/>
        </w:trPr>
        <w:tc>
          <w:tcPr>
            <w:tcW w:w="581" w:type="pct"/>
            <w:vMerge w:val="continue"/>
            <w:tcBorders>
              <w:tl2br w:val="nil"/>
              <w:tr2bl w:val="nil"/>
            </w:tcBorders>
            <w:shd w:val="clear" w:color="auto" w:fill="auto"/>
            <w:noWrap/>
            <w:vAlign w:val="center"/>
          </w:tcPr>
          <w:p w14:paraId="0D3A9E8A">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p>
        </w:tc>
        <w:tc>
          <w:tcPr>
            <w:tcW w:w="1690" w:type="pct"/>
            <w:tcBorders>
              <w:tl2br w:val="nil"/>
              <w:tr2bl w:val="nil"/>
            </w:tcBorders>
            <w:shd w:val="clear" w:color="auto" w:fill="auto"/>
            <w:noWrap/>
            <w:vAlign w:val="center"/>
          </w:tcPr>
          <w:p w14:paraId="1DF22F9F">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R: AATTGTCCAGCCCCGTTCAT</w:t>
            </w:r>
          </w:p>
        </w:tc>
        <w:tc>
          <w:tcPr>
            <w:tcW w:w="2728" w:type="pct"/>
            <w:vMerge w:val="continue"/>
            <w:tcBorders>
              <w:tl2br w:val="nil"/>
              <w:tr2bl w:val="nil"/>
            </w:tcBorders>
            <w:shd w:val="clear" w:color="auto" w:fill="auto"/>
            <w:noWrap/>
          </w:tcPr>
          <w:p w14:paraId="2411C382">
            <w:pPr>
              <w:widowControl w:val="0"/>
              <w:spacing w:after="0" w:line="360" w:lineRule="auto"/>
              <w:jc w:val="center"/>
              <w:rPr>
                <w:rFonts w:ascii="Times New Roman" w:hAnsi="Times New Roman" w:eastAsia="等线" w:cs="Times New Roman"/>
                <w:bCs/>
                <w:color w:val="000000"/>
                <w:sz w:val="18"/>
                <w:szCs w:val="18"/>
              </w:rPr>
            </w:pPr>
          </w:p>
        </w:tc>
      </w:tr>
      <w:tr w14:paraId="4C8E123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581" w:type="pct"/>
            <w:vMerge w:val="restart"/>
            <w:tcBorders>
              <w:tl2br w:val="nil"/>
              <w:tr2bl w:val="nil"/>
            </w:tcBorders>
            <w:shd w:val="clear" w:color="auto" w:fill="auto"/>
            <w:noWrap/>
            <w:vAlign w:val="center"/>
          </w:tcPr>
          <w:p w14:paraId="449E7D76">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i/>
                <w:iCs/>
                <w:color w:val="000000"/>
                <w:kern w:val="0"/>
                <w:sz w:val="20"/>
                <w:szCs w:val="20"/>
                <w:lang w:val="en-US" w:eastAsia="zh-CN" w:bidi="ar"/>
              </w:rPr>
              <w:t>HaSO3</w:t>
            </w:r>
          </w:p>
        </w:tc>
        <w:tc>
          <w:tcPr>
            <w:tcW w:w="1690" w:type="pct"/>
            <w:tcBorders>
              <w:tl2br w:val="nil"/>
              <w:tr2bl w:val="nil"/>
            </w:tcBorders>
            <w:shd w:val="clear" w:color="auto" w:fill="auto"/>
            <w:noWrap/>
            <w:vAlign w:val="center"/>
          </w:tcPr>
          <w:p w14:paraId="343588CF">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F: GAAACCCCATGTAAGTTCTCGT</w:t>
            </w:r>
          </w:p>
        </w:tc>
        <w:tc>
          <w:tcPr>
            <w:tcW w:w="2728" w:type="pct"/>
            <w:vMerge w:val="restart"/>
            <w:tcBorders>
              <w:tl2br w:val="nil"/>
              <w:tr2bl w:val="nil"/>
            </w:tcBorders>
            <w:shd w:val="clear" w:color="auto" w:fill="auto"/>
            <w:noWrap/>
          </w:tcPr>
          <w:p w14:paraId="1A0FC68D">
            <w:pPr>
              <w:widowControl w:val="0"/>
              <w:spacing w:after="0" w:line="360" w:lineRule="auto"/>
              <w:jc w:val="both"/>
              <w:rPr>
                <w:rFonts w:hint="eastAsia" w:ascii="Times New Roman" w:hAnsi="Times New Roman" w:eastAsia="等线" w:cs="Times New Roman"/>
                <w:bCs/>
                <w:color w:val="000000"/>
                <w:sz w:val="18"/>
                <w:szCs w:val="18"/>
                <w:lang w:val="en-US" w:eastAsia="zh-CN"/>
              </w:rPr>
            </w:pPr>
            <w:r>
              <w:rPr>
                <w:rFonts w:hint="eastAsia" w:ascii="Times New Roman" w:hAnsi="Times New Roman" w:eastAsia="等线" w:cs="Times New Roman"/>
                <w:bCs/>
                <w:color w:val="000000"/>
                <w:sz w:val="18"/>
                <w:szCs w:val="18"/>
              </w:rPr>
              <w:t>Osmotic regulation/stress-responsive protein (putatively involved in proline/betaine synthesis)</w:t>
            </w:r>
            <w:r>
              <w:rPr>
                <w:rFonts w:hint="eastAsia" w:ascii="Times New Roman" w:hAnsi="Times New Roman" w:eastAsia="等线" w:cs="Times New Roman"/>
                <w:bCs/>
                <w:color w:val="000000"/>
                <w:sz w:val="18"/>
                <w:szCs w:val="18"/>
                <w:lang w:val="en-US" w:eastAsia="zh-CN"/>
              </w:rPr>
              <w:t>.</w:t>
            </w:r>
          </w:p>
        </w:tc>
      </w:tr>
      <w:tr w14:paraId="42DEE3C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581" w:type="pct"/>
            <w:vMerge w:val="continue"/>
            <w:tcBorders>
              <w:tl2br w:val="nil"/>
              <w:tr2bl w:val="nil"/>
            </w:tcBorders>
            <w:shd w:val="clear" w:color="auto" w:fill="auto"/>
            <w:noWrap/>
          </w:tcPr>
          <w:p w14:paraId="0ACAA1B0">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p>
        </w:tc>
        <w:tc>
          <w:tcPr>
            <w:tcW w:w="1690" w:type="pct"/>
            <w:tcBorders>
              <w:tl2br w:val="nil"/>
              <w:tr2bl w:val="nil"/>
            </w:tcBorders>
            <w:shd w:val="clear" w:color="auto" w:fill="auto"/>
            <w:noWrap/>
            <w:vAlign w:val="center"/>
          </w:tcPr>
          <w:p w14:paraId="2010D2C8">
            <w:pPr>
              <w:keepNext w:val="0"/>
              <w:keepLines w:val="0"/>
              <w:widowControl/>
              <w:suppressLineNumbers w:val="0"/>
              <w:spacing w:after="0"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R: CTGAAAAGCGCAAGCTGGAA</w:t>
            </w:r>
          </w:p>
        </w:tc>
        <w:tc>
          <w:tcPr>
            <w:tcW w:w="2728" w:type="pct"/>
            <w:vMerge w:val="continue"/>
            <w:tcBorders>
              <w:tl2br w:val="nil"/>
              <w:tr2bl w:val="nil"/>
            </w:tcBorders>
            <w:shd w:val="clear" w:color="auto" w:fill="auto"/>
            <w:noWrap/>
          </w:tcPr>
          <w:p w14:paraId="484D0C0D">
            <w:pPr>
              <w:widowControl w:val="0"/>
              <w:spacing w:after="0" w:line="360" w:lineRule="auto"/>
              <w:jc w:val="center"/>
              <w:rPr>
                <w:rFonts w:ascii="Times New Roman" w:hAnsi="Times New Roman" w:eastAsia="等线" w:cs="Times New Roman"/>
                <w:bCs/>
                <w:color w:val="000000"/>
                <w:sz w:val="18"/>
                <w:szCs w:val="18"/>
              </w:rPr>
            </w:pPr>
          </w:p>
        </w:tc>
      </w:tr>
    </w:tbl>
    <w:p w14:paraId="294BC127">
      <w:pPr>
        <w:spacing w:line="360" w:lineRule="auto"/>
        <w:rPr>
          <w:rFonts w:ascii="Times New Roman" w:hAnsi="Times New Roman" w:cs="Times New Roman"/>
          <w:color w:val="000000" w:themeColor="text1"/>
          <w:szCs w:val="21"/>
          <w14:textFill>
            <w14:solidFill>
              <w14:schemeClr w14:val="tx1"/>
            </w14:solidFill>
          </w14:textFill>
        </w:rPr>
      </w:pPr>
    </w:p>
    <w:p w14:paraId="4EE1A4F2">
      <w:pPr>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New Roman Bold">
    <w:altName w:val="Times New Roman"/>
    <w:panose1 w:val="02020603050405020304"/>
    <w:charset w:val="00"/>
    <w:family w:val="auto"/>
    <w:pitch w:val="default"/>
    <w:sig w:usb0="00000000" w:usb1="00000000" w:usb2="00000000" w:usb3="00000000" w:csb0="00000000" w:csb1="00000000"/>
    <w:embedRegular r:id="rId1" w:fontKey="{257CA32E-F16E-460D-9632-CF2AA11DEFD0}"/>
  </w:font>
  <w:font w:name="等线">
    <w:panose1 w:val="02010600030101010101"/>
    <w:charset w:val="86"/>
    <w:family w:val="auto"/>
    <w:pitch w:val="default"/>
    <w:sig w:usb0="A00002BF" w:usb1="38CF7CFA" w:usb2="00000016" w:usb3="00000000" w:csb0="0004000F" w:csb1="00000000"/>
    <w:embedRegular r:id="rId2" w:fontKey="{E503B16A-BD9C-4697-9FC4-BD86F5939CD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E87A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0EE7BF">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0EE7BF">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FmY2M5ZTlmZDY0NjQzZDFiMTRmMDdmYTM1YjkzZTgifQ=="/>
  </w:docVars>
  <w:rsids>
    <w:rsidRoot w:val="4E3576E8"/>
    <w:rsid w:val="005C464A"/>
    <w:rsid w:val="0A5D06A7"/>
    <w:rsid w:val="0BE0458C"/>
    <w:rsid w:val="0CAF50C5"/>
    <w:rsid w:val="11786B32"/>
    <w:rsid w:val="180310FF"/>
    <w:rsid w:val="224474E9"/>
    <w:rsid w:val="230D08AB"/>
    <w:rsid w:val="29815117"/>
    <w:rsid w:val="384652DA"/>
    <w:rsid w:val="39DE1651"/>
    <w:rsid w:val="3E582361"/>
    <w:rsid w:val="431947A2"/>
    <w:rsid w:val="45286BEF"/>
    <w:rsid w:val="4E3576E8"/>
    <w:rsid w:val="4FAD3A63"/>
    <w:rsid w:val="529918CE"/>
    <w:rsid w:val="52C670DA"/>
    <w:rsid w:val="5346405F"/>
    <w:rsid w:val="59016A49"/>
    <w:rsid w:val="59525558"/>
    <w:rsid w:val="5C586492"/>
    <w:rsid w:val="5C78796F"/>
    <w:rsid w:val="5CC94657"/>
    <w:rsid w:val="5E0C27AA"/>
    <w:rsid w:val="5EF467A0"/>
    <w:rsid w:val="61B208DA"/>
    <w:rsid w:val="62DC37E2"/>
    <w:rsid w:val="64E75E4A"/>
    <w:rsid w:val="65A23E18"/>
    <w:rsid w:val="662E11AD"/>
    <w:rsid w:val="6B7C78AE"/>
    <w:rsid w:val="6E1C23EB"/>
    <w:rsid w:val="6E4F6E4F"/>
    <w:rsid w:val="6F2440E6"/>
    <w:rsid w:val="709C6413"/>
    <w:rsid w:val="73470094"/>
    <w:rsid w:val="755836D4"/>
    <w:rsid w:val="79584959"/>
    <w:rsid w:val="795E70C0"/>
    <w:rsid w:val="7C0237BF"/>
    <w:rsid w:val="7D050602"/>
    <w:rsid w:val="7E642E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qFormat="1" w:uiPriority="99"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EastAsia" w:cstheme="minorBidi"/>
      <w:sz w:val="24"/>
      <w:szCs w:val="24"/>
      <w:lang w:val="en-US" w:eastAsia="en-US"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Simple 1"/>
    <w:basedOn w:val="4"/>
    <w:semiHidden/>
    <w:unhideWhenUsed/>
    <w:qFormat/>
    <w:uiPriority w:val="99"/>
    <w:pPr>
      <w:widowControl w:val="0"/>
      <w:spacing w:after="0" w:line="240" w:lineRule="auto"/>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customStyle="1" w:styleId="7">
    <w:name w:val="样式1"/>
    <w:basedOn w:val="5"/>
    <w:qFormat/>
    <w:uiPriority w:val="99"/>
    <w:rPr>
      <w:rFonts w:ascii="Calibri" w:hAnsi="Calibri" w:eastAsia="宋体" w:cs="Times New Roman"/>
      <w:sz w:val="20"/>
      <w:szCs w:val="20"/>
      <w:lang w:eastAsia="en-IN"/>
    </w:r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cPr>
        <w:tcBorders>
          <w:bottom w:val="single" w:color="008000" w:sz="6" w:space="0"/>
          <w:tl2br w:val="nil"/>
          <w:tr2bl w:val="nil"/>
        </w:tcBorders>
      </w:tcPr>
    </w:tblStylePr>
    <w:tblStylePr w:type="lastRow">
      <w:tcPr>
        <w:tcBorders>
          <w:top w:val="single" w:color="008000" w:sz="6" w:space="0"/>
          <w:tl2br w:val="nil"/>
          <w:tr2bl w:val="nil"/>
        </w:tcBorders>
      </w:tc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4.tiff"/><Relationship Id="rId8" Type="http://schemas.openxmlformats.org/officeDocument/2006/relationships/image" Target="media/image3.tiff"/><Relationship Id="rId7" Type="http://schemas.openxmlformats.org/officeDocument/2006/relationships/image" Target="media/image2.tiff"/><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5.tif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452</Words>
  <Characters>3157</Characters>
  <Lines>0</Lines>
  <Paragraphs>0</Paragraphs>
  <TotalTime>1</TotalTime>
  <ScaleCrop>false</ScaleCrop>
  <LinksUpToDate>false</LinksUpToDate>
  <CharactersWithSpaces>3563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2024-06-26T02:06:00Z</dcterms:created>
  <dc:creator>princess Wang</dc:creator>
  <cp:lastModifiedBy>princess Wang</cp:lastModifiedBy>
  <dcterms:modified xsi:type="dcterms:W3CDTF">2026-08-12T00:56:23Z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2AABC82DE94F46FE94A912097DA334B4_11</vt:lpwstr>
  </property>
  <property fmtid="{D5CDD505-2E9C-101B-9397-08002B2CF9AE}" pid="4" name="KSOTemplateDocerSaveRecord">
    <vt:lpwstr>eyJoZGlkIjoiMzAxMWZmZmZhZGQxYWNjODQ3MWZmMzNhMTYzNzRmMDEiLCJ1c2VySWQiOiI2OTI5MTA3OTUifQ==</vt:lpwstr>
  </property>
</Properties>
</file>