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471A2DA" wp14:editId="16812558">
            <wp:simplePos x="0" y="0"/>
            <wp:positionH relativeFrom="margin">
              <wp:posOffset>0</wp:posOffset>
            </wp:positionH>
            <wp:positionV relativeFrom="paragraph">
              <wp:posOffset>234</wp:posOffset>
            </wp:positionV>
            <wp:extent cx="5382260" cy="6938010"/>
            <wp:effectExtent l="0" t="0" r="8890" b="0"/>
            <wp:wrapSquare wrapText="bothSides"/>
            <wp:docPr id="87409176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91767" name="図 87409176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" r="79"/>
                    <a:stretch/>
                  </pic:blipFill>
                  <pic:spPr bwMode="auto">
                    <a:xfrm>
                      <a:off x="0" y="0"/>
                      <a:ext cx="5382260" cy="693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Extended Data Fig. 1</w:t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Age-associated bone phenotypes in OPG KO mice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μCT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analysis of trabecular bone parameters in femora from young and middle-aged WT and OPG KO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5 biological replicates. Scale bar, 1 mm.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b–d,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Immunofluorescence of Perilipin⁺ (</w:t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), Ki67⁺ (</w:t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), and CD41a⁺ (</w:t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) cells in bone marrow 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lastRenderedPageBreak/>
        <w:t xml:space="preserve">from young and middle-aged WT and OPG KO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5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Quantitative RT–PCR analysis of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p16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and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p21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expression in young OPG KO mice treated with anti-RANKL antibody or control IgG.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3 biological replicates.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f–h,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Immunofluorescence of Ki67⁺ (</w:t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), CD41a⁺ (</w:t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g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), and Perilipin⁺ (</w:t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h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) cells in femora from young OPG KO mice treated with anti-RANKL antibody or control IgG.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3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a–h,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Data are presented as mean ±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s.d.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Statistical significance was determined using Brown–Forsythe and Welch ANOVA followed by Dunnett’s T3 multiple-comparisons test or unpaired two-tailed Welch’s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t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-test (*P &lt; 0.05, **P &lt; 0.01, ***P &lt; 0.001, ****P &lt; 0.0001, ns, not significant).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 w:type="page"/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73825185" wp14:editId="697E502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3335020"/>
            <wp:effectExtent l="0" t="0" r="0" b="0"/>
            <wp:wrapSquare wrapText="bothSides"/>
            <wp:docPr id="177972615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26159" name="図 177972615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" t="8284"/>
                    <a:stretch/>
                  </pic:blipFill>
                  <pic:spPr bwMode="auto">
                    <a:xfrm>
                      <a:off x="0" y="0"/>
                      <a:ext cx="5400040" cy="333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Extended Data Fig. 2</w:t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RANK⁺ endothelial cells are increased in middle-aged bone marrow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Immunofluorescence of femora from middle-aged RANK-tom mice stained for CD31 and </w:t>
      </w:r>
      <w:proofErr w:type="spellStart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Emcn</w:t>
      </w:r>
      <w:proofErr w:type="spellEnd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F4/80, and </w:t>
      </w:r>
      <w:proofErr w:type="spellStart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LepR</w:t>
      </w:r>
      <w:proofErr w:type="spellEnd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BD052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5 biological replicates. Scale bar, 50 </w:t>
      </w:r>
      <w:proofErr w:type="spellStart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RANKL immunofluorescence in femora from young and middle-aged WT mice. </w:t>
      </w:r>
      <w:r w:rsidRPr="00BD052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5 biological replicates. Scale bar, 50 </w:t>
      </w:r>
      <w:proofErr w:type="spellStart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, Data are presented as median with interquartile range. Statistical significance was determined using the Kruskal–</w:t>
      </w:r>
      <w:proofErr w:type="gramStart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Wallis</w:t>
      </w:r>
      <w:proofErr w:type="gramEnd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test followed by Dunn’s multiple-comparisons test (*P &lt; 0.05, **P &lt; 0.01). 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Data are presented as mean ± </w:t>
      </w:r>
      <w:proofErr w:type="spellStart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>s.d.</w:t>
      </w:r>
      <w:proofErr w:type="spellEnd"/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Statistical significance was determined using unpaired two-tailed Welch’s </w:t>
      </w:r>
      <w:r w:rsidRPr="00BD052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t</w:t>
      </w:r>
      <w:r w:rsidRPr="00BD052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-test (*P &lt; 0.05). 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2DD4E2B9" wp14:editId="5B0A99CA">
            <wp:simplePos x="0" y="0"/>
            <wp:positionH relativeFrom="margin">
              <wp:align>right</wp:align>
            </wp:positionH>
            <wp:positionV relativeFrom="paragraph">
              <wp:posOffset>264</wp:posOffset>
            </wp:positionV>
            <wp:extent cx="5400040" cy="3206115"/>
            <wp:effectExtent l="0" t="0" r="0" b="0"/>
            <wp:wrapSquare wrapText="bothSides"/>
            <wp:docPr id="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1842" name="図 21469184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" r="1703"/>
                    <a:stretch/>
                  </pic:blipFill>
                  <pic:spPr bwMode="auto">
                    <a:xfrm>
                      <a:off x="0" y="0"/>
                      <a:ext cx="5400040" cy="320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Extended Data Fig. 3</w:t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Depletion of endothelial Rank improves aging-associated decline in bone formation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Immunofluorescence of CD31 and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Emcn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in femora from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 after intravenous injection of Fluor555-rRANKL.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3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Toluidine blue staining of tibial sections from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7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Osterix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immunofluorescence in femora from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4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Calcein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double labeling of tibiae to determine bone formation rate.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7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TRAP staining of tibiae from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7 biological 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lastRenderedPageBreak/>
        <w:t xml:space="preserve">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b–e,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Data are presented as mean ±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s.d.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Statistical significance was determined using unpaired two-tailed Welch’s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t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-test (*P &lt; 0.05, **P &lt; 0.01, ns, not significant).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 w:type="page"/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40BAB845" wp14:editId="563BF965">
            <wp:simplePos x="0" y="0"/>
            <wp:positionH relativeFrom="margin">
              <wp:posOffset>-1270</wp:posOffset>
            </wp:positionH>
            <wp:positionV relativeFrom="paragraph">
              <wp:posOffset>252</wp:posOffset>
            </wp:positionV>
            <wp:extent cx="5396230" cy="52832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Fig.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Extended Data Fig. 4</w:t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Deletion of endothelial Rank restores aging-associated senescent cell accumulation and aberrant HSC output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Flow cytometry analysis of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SPiDER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-β-gal⁺ cells in bone marrow from young and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3 biological replicates.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SPiDER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-β-gal staining in femora from young and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6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Ki67 immunofluorescence in femora from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6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d,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Hematoxylin and eosin-stained tibial sections from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7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Quantitative RT–PCR analysis of SASP gene expression in tibiae from middle-aged control and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5 biological replicates.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Quantification of bone marrow cellularity in femora from young and middle-aged control and middle-aged EC-RANK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cKO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mice before and 1 or 2 weeks after intravenous administration of 5-FU (250 mg/kg). n = 6 biological replicates.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a–e,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Data are presented as mean ±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s.d.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Statistical significance was determined using Brown–Forsythe and Welch ANOVA followed by Dunnett’s T3 multiple-comparisons test or unpaired two-tailed Welch’s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t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-test (*P &lt; 0.05, **P &lt; 0.01, ***P &lt; 0.001, ns, not significant). 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 w:type="page"/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55DB78B9" wp14:editId="5FB333A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5652770"/>
            <wp:effectExtent l="0" t="0" r="0" b="0"/>
            <wp:wrapSquare wrapText="bothSides"/>
            <wp:docPr id="2097346323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346323" name="図 209734632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" r="523"/>
                    <a:stretch/>
                  </pic:blipFill>
                  <pic:spPr bwMode="auto">
                    <a:xfrm>
                      <a:off x="0" y="0"/>
                      <a:ext cx="5400040" cy="565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Extended Data Fig. 5</w:t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 xml:space="preserve">Characterization of endothelial cells by </w:t>
      </w:r>
      <w:proofErr w:type="spellStart"/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scRNA</w:t>
      </w:r>
      <w:proofErr w:type="spellEnd"/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-seq and FACS analysis, and effects of RANKL on IL-1β and SASP expression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UMAP visualization of reanalyzed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scRNA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-seq data (GSE145477) from bone marrow of 16-month-old mice. Feature plots show expression of canonical marker genes in BMSCs, osteoblasts, immune cells, and endothelial cells.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proofErr w:type="spellStart"/>
      <w:proofErr w:type="gramStart"/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b,c</w:t>
      </w:r>
      <w:proofErr w:type="spellEnd"/>
      <w:proofErr w:type="gramEnd"/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Cell sorting of endothelial cells (CD31⁺CD45⁻Ter119⁻) and stromal cell-rich fractions (CD31⁻CD45⁻Ter119⁻), and quantitative RT–PCR analysis of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Cdh5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and </w:t>
      </w:r>
      <w:proofErr w:type="spellStart"/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Lepr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expression.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3 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lastRenderedPageBreak/>
        <w:t>biological replicates.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CD31and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Emcn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immunofluorescence and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SPiDER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-β-gal staining in femora.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6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Quantitative RT–PCR analysis of SASP gene expression in HUVECs transfected with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Tnfrsf11a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or control vector and treated with RANKL (100 ng/mL) for 24 h.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5 biological replicates.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Quantitative RT–PCR analysis of SASP gene expression in bone marrow macrophages treated with RANKL (100 ng/mL) for 24 h or untreated.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= 3 biological replicates.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Pr="00BD052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b–f,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Data are presented as mean ±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s.d.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Statistical significance was determined using unpaired two-tailed Welch’s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t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-test (*P &lt; 0.05, **P &lt; 0.01). 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 w:type="page"/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 wp14:anchorId="78D1CE28" wp14:editId="23DEC6B9">
            <wp:simplePos x="0" y="0"/>
            <wp:positionH relativeFrom="column">
              <wp:posOffset>-10795</wp:posOffset>
            </wp:positionH>
            <wp:positionV relativeFrom="paragraph">
              <wp:posOffset>0</wp:posOffset>
            </wp:positionV>
            <wp:extent cx="5408295" cy="6367145"/>
            <wp:effectExtent l="0" t="0" r="1905" b="0"/>
            <wp:wrapSquare wrapText="bothSides"/>
            <wp:docPr id="275597464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97464" name="図 27559746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" r="909"/>
                    <a:stretch/>
                  </pic:blipFill>
                  <pic:spPr bwMode="auto">
                    <a:xfrm>
                      <a:off x="0" y="0"/>
                      <a:ext cx="5408295" cy="636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Extended Data Fig. 6</w:t>
      </w: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Identification of Il1r1-expressing clusters and effects of IL-1β on senescence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UMAP visualization of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scRNA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-seq data from bone marrow of 1.5-month-old and 16-month-old mice.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, Feature plots showing expression of canonical marker genes.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lastRenderedPageBreak/>
        <w:t>c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Volcano plot showing DEGs between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Il1r1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⁺ and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Il1r1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⁻ BMSCs.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, Alkaline phosphatase staining and quantification of alkaline phosphatase (ALP) activity. n = 3 biological replicates.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Violin plots showing ROS-related pathway activity and representative oxidative stress response genes in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Il1r1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  <w:vertAlign w:val="superscript"/>
        </w:rPr>
        <w:t>-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and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Il1r1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  <w:vertAlign w:val="superscript"/>
        </w:rPr>
        <w:t>+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BMSCs. The left panel shows the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UCell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score for the GO cellular response to oxidative stress pathway, and the right panels show expression levels of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Nfe2l2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and </w:t>
      </w:r>
      <w:r w:rsidRPr="00BD0529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Txnrd1</w:t>
      </w: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 Each dot represents one cell. White horizontal bars indicate the median.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f, Representative images of DCFH-DA staining in ST2 cells treated with IL-1β with or without N-acetylcysteine (NAC) for 10 min. Quantification of intracellular ROS levels by integrated density (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IntDen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) is shown. n = 5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g, Representative images of JC-1 staining in ST2 cells treated with IL-1β. Quantification of the JC-1 red/green fluorescence intensity ratio by ROI analysis of individual cells is shown. Red and green fluorescence indicate high and low mitochondrial membrane potential (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ΔΨm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). Values represent the mean of all analyzed cells. n = 3 biological replicates. Scale bar, 50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μm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h, Quantitative RT-PCR analysis of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Ifnb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expression in ST2 cells treated with or without IL-1β. n = 3 biological replicates.</w:t>
      </w:r>
    </w:p>
    <w:p w:rsidR="00D927F5" w:rsidRPr="00BD0529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i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, Representative western blots of p16 and p21 in ST2 cells treated with IL-1β for 10 days. Quantification of p16 and p21 protein expression normalized to β-actin is shown. n = 3 biological replicates.</w:t>
      </w:r>
    </w:p>
    <w:p w:rsidR="0064187A" w:rsidRPr="00D927F5" w:rsidRDefault="00D927F5" w:rsidP="00D927F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lastRenderedPageBreak/>
        <w:t>d-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i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Data are presented as mean ± 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s.d.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Statistical significance was determined by one-way ANOVA followed by Dunnett’s multiple-comparisons test (d, f), Wilcoxon rank-sum test (e), unpaired two-tailed Welch’s t-test (g-</w:t>
      </w:r>
      <w:proofErr w:type="spellStart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i</w:t>
      </w:r>
      <w:proofErr w:type="spellEnd"/>
      <w:r w:rsidRPr="00BD052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). (*p &lt; 0.05; **p &lt; 0.01; ****p &lt; 0.0001).</w:t>
      </w:r>
    </w:p>
    <w:sectPr w:rsidR="0064187A" w:rsidRPr="00D927F5" w:rsidSect="00D927F5">
      <w:footerReference w:type="default" r:id="rId10"/>
      <w:pgSz w:w="11900" w:h="16840"/>
      <w:pgMar w:top="1276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3249"/>
      <w:docPartObj>
        <w:docPartGallery w:val="Page Numbers (Bottom of Page)"/>
        <w:docPartUnique/>
      </w:docPartObj>
    </w:sdtPr>
    <w:sdtContent>
      <w:p w:rsidR="0000000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84B05">
          <w:rPr>
            <w:noProof/>
            <w:lang w:val="ja-JP"/>
          </w:rPr>
          <w:t>57</w:t>
        </w:r>
        <w:r>
          <w:fldChar w:fldCharType="end"/>
        </w:r>
      </w:p>
    </w:sdtContent>
  </w:sdt>
  <w:p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F5"/>
    <w:rsid w:val="003B6FF1"/>
    <w:rsid w:val="005E2DD1"/>
    <w:rsid w:val="0064187A"/>
    <w:rsid w:val="00A12920"/>
    <w:rsid w:val="00D9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DDE62"/>
  <w15:chartTrackingRefBased/>
  <w15:docId w15:val="{5A37EBD4-7883-1448-B04E-BFE146C7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7F5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92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927F5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5">
    <w:name w:val="line number"/>
    <w:basedOn w:val="a0"/>
    <w:uiPriority w:val="99"/>
    <w:semiHidden/>
    <w:unhideWhenUsed/>
    <w:rsid w:val="00D92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1083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 莉奈</dc:creator>
  <cp:keywords/>
  <dc:description/>
  <cp:lastModifiedBy>岩本 莉奈</cp:lastModifiedBy>
  <cp:revision>1</cp:revision>
  <dcterms:created xsi:type="dcterms:W3CDTF">2026-07-07T04:32:00Z</dcterms:created>
  <dcterms:modified xsi:type="dcterms:W3CDTF">2026-07-07T04:33:00Z</dcterms:modified>
</cp:coreProperties>
</file>