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DB83B" w14:textId="77777777" w:rsidR="00A336C6" w:rsidRDefault="00A336C6" w:rsidP="00A336C6">
      <w:pPr>
        <w:spacing w:line="240" w:lineRule="auto"/>
        <w:jc w:val="both"/>
        <w:rPr>
          <w:noProof/>
        </w:rPr>
      </w:pPr>
      <w:r>
        <w:rPr>
          <w:noProof/>
        </w:rPr>
        <mc:AlternateContent>
          <mc:Choice Requires="wps">
            <w:drawing>
              <wp:anchor distT="0" distB="0" distL="114300" distR="114300" simplePos="0" relativeHeight="251659264" behindDoc="0" locked="0" layoutInCell="1" allowOverlap="1" wp14:anchorId="3B231336" wp14:editId="4BA4C772">
                <wp:simplePos x="0" y="0"/>
                <wp:positionH relativeFrom="margin">
                  <wp:align>right</wp:align>
                </wp:positionH>
                <wp:positionV relativeFrom="paragraph">
                  <wp:posOffset>4587240</wp:posOffset>
                </wp:positionV>
                <wp:extent cx="914400" cy="914400"/>
                <wp:effectExtent l="0" t="0" r="0" b="0"/>
                <wp:wrapNone/>
                <wp:docPr id="1709496703" name="Text Box 7"/>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5CEC76EF" w14:textId="77777777" w:rsidR="00A336C6" w:rsidRPr="00F34A7B" w:rsidRDefault="00A336C6" w:rsidP="00A336C6">
                            <w:pPr>
                              <w:rPr>
                                <w:rFonts w:ascii="Arial" w:hAnsi="Arial" w:cs="Arial"/>
                                <w:sz w:val="20"/>
                                <w:szCs w:val="20"/>
                              </w:rPr>
                            </w:pPr>
                            <w:r w:rsidRPr="00F34A7B">
                              <w:rPr>
                                <w:rFonts w:ascii="Arial" w:hAnsi="Arial" w:cs="Arial"/>
                                <w:sz w:val="20"/>
                                <w:szCs w:val="20"/>
                              </w:rPr>
                              <w:t>Supplemental Figure 1. Representative images of iPSC to EP differentiation with formation of a mesodermal monolayer and enrichment of endothelial progenitor population. Scale Bar is 200 µm.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B231336" id="_x0000_t202" coordsize="21600,21600" o:spt="202" path="m,l,21600r21600,l21600,xe">
                <v:stroke joinstyle="miter"/>
                <v:path gradientshapeok="t" o:connecttype="rect"/>
              </v:shapetype>
              <v:shape id="Text Box 7" o:spid="_x0000_s1026" type="#_x0000_t202" style="position:absolute;left:0;text-align:left;margin-left:20.8pt;margin-top:361.2pt;width:1in;height:1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" fillcolor="white [3201]" stroked="f" strokeweight=".5pt">
                <v:textbox>
                  <w:txbxContent>
                    <w:p w14:paraId="5CEC76EF" w14:textId="77777777" w:rsidR="00A336C6" w:rsidRPr="00F34A7B" w:rsidRDefault="00A336C6" w:rsidP="00A336C6">
                      <w:pPr>
                        <w:rPr>
                          <w:rFonts w:ascii="Arial" w:hAnsi="Arial" w:cs="Arial"/>
                          <w:sz w:val="20"/>
                          <w:szCs w:val="20"/>
                        </w:rPr>
                      </w:pPr>
                      <w:r w:rsidRPr="00F34A7B">
                        <w:rPr>
                          <w:rFonts w:ascii="Arial" w:hAnsi="Arial" w:cs="Arial"/>
                          <w:sz w:val="20"/>
                          <w:szCs w:val="20"/>
                        </w:rPr>
                        <w:t>Supplemental Figure 1. Representative images of iPSC to EP differentiation with formation of a mesodermal monolayer and enrichment of endothelial progenitor population. Scale Bar is 200 µm.</w:t>
                      </w:r>
                    </w:p>
                  </w:txbxContent>
                </v:textbox>
                <w10:wrap anchorx="margin"/>
              </v:shape>
            </w:pict>
          </mc:Fallback>
        </mc:AlternateContent>
      </w:r>
      <w:r>
        <w:rPr>
          <w:b/>
          <w:bCs/>
          <w:noProof/>
        </w:rPr>
        <w:t>Supplemental Figures:</w:t>
      </w:r>
    </w:p>
    <w:p w14:paraId="01617CFD" w14:textId="77777777" w:rsidR="00A336C6" w:rsidRDefault="00A336C6" w:rsidP="00A336C6">
      <w:pPr>
        <w:spacing w:line="240" w:lineRule="auto"/>
        <w:jc w:val="both"/>
        <w:rPr>
          <w:rFonts w:ascii="Arial" w:eastAsia="Times New Roman" w:hAnsi="Arial" w:cs="Arial"/>
        </w:rPr>
      </w:pPr>
      <w:r>
        <w:rPr>
          <w:noProof/>
        </w:rPr>
        <w:drawing>
          <wp:inline distT="0" distB="0" distL="0" distR="0" wp14:anchorId="0B844F89" wp14:editId="6DEBFC8E">
            <wp:extent cx="5943600" cy="6240780"/>
            <wp:effectExtent l="0" t="0" r="0" b="7620"/>
            <wp:docPr id="1896368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68342" name="Picture 1896368342"/>
                    <pic:cNvPicPr/>
                  </pic:nvPicPr>
                  <pic:blipFill>
                    <a:blip r:embed="rId4">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1404A950" w14:textId="77777777" w:rsidR="00A336C6" w:rsidRDefault="00A336C6" w:rsidP="00A336C6">
      <w:pPr>
        <w:rPr>
          <w:rFonts w:ascii="Arial" w:eastAsia="Times New Roman" w:hAnsi="Arial" w:cs="Arial"/>
        </w:rPr>
      </w:pPr>
      <w:r>
        <w:rPr>
          <w:rFonts w:ascii="Arial" w:eastAsia="Times New Roman" w:hAnsi="Arial" w:cs="Arial"/>
        </w:rPr>
        <w:br w:type="page"/>
      </w:r>
    </w:p>
    <w:p w14:paraId="11E02CC5"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0288" behindDoc="0" locked="0" layoutInCell="1" allowOverlap="1" wp14:anchorId="1144BFDC" wp14:editId="15812088">
                <wp:simplePos x="0" y="0"/>
                <wp:positionH relativeFrom="margin">
                  <wp:align>right</wp:align>
                </wp:positionH>
                <wp:positionV relativeFrom="paragraph">
                  <wp:posOffset>5654040</wp:posOffset>
                </wp:positionV>
                <wp:extent cx="914400" cy="2156460"/>
                <wp:effectExtent l="0" t="0" r="0" b="0"/>
                <wp:wrapNone/>
                <wp:docPr id="2061731357" name="Text Box 9"/>
                <wp:cNvGraphicFramePr/>
                <a:graphic xmlns:a="http://schemas.openxmlformats.org/drawingml/2006/main">
                  <a:graphicData uri="http://schemas.microsoft.com/office/word/2010/wordprocessingShape">
                    <wps:wsp>
                      <wps:cNvSpPr txBox="1"/>
                      <wps:spPr>
                        <a:xfrm>
                          <a:off x="0" y="0"/>
                          <a:ext cx="914400" cy="2156460"/>
                        </a:xfrm>
                        <a:prstGeom prst="rect">
                          <a:avLst/>
                        </a:prstGeom>
                        <a:solidFill>
                          <a:schemeClr val="lt1"/>
                        </a:solidFill>
                        <a:ln w="6350">
                          <a:noFill/>
                        </a:ln>
                      </wps:spPr>
                      <wps:txbx>
                        <w:txbxContent>
                          <w:p w14:paraId="4AFB8F38" w14:textId="77777777" w:rsidR="00A336C6" w:rsidRPr="00F34A7B" w:rsidRDefault="00A336C6" w:rsidP="00A336C6">
                            <w:pPr>
                              <w:rPr>
                                <w:rFonts w:ascii="Arial" w:hAnsi="Arial" w:cs="Arial"/>
                                <w:sz w:val="20"/>
                                <w:szCs w:val="20"/>
                              </w:rPr>
                            </w:pPr>
                            <w:r w:rsidRPr="00F34A7B">
                              <w:rPr>
                                <w:rFonts w:ascii="Arial" w:hAnsi="Arial" w:cs="Arial"/>
                                <w:sz w:val="20"/>
                                <w:szCs w:val="20"/>
                              </w:rPr>
                              <w:t>Supplementary Figure 2: (A) Representative gating strategy used to isolate CD34</w:t>
                            </w:r>
                            <w:r w:rsidRPr="00F34A7B">
                              <w:rPr>
                                <w:rFonts w:ascii="Cambria Math" w:hAnsi="Cambria Math" w:cs="Cambria Math"/>
                                <w:sz w:val="20"/>
                                <w:szCs w:val="20"/>
                              </w:rPr>
                              <w:t>⁺</w:t>
                            </w:r>
                            <w:r w:rsidRPr="00F34A7B">
                              <w:rPr>
                                <w:rFonts w:ascii="Arial" w:hAnsi="Arial" w:cs="Arial"/>
                                <w:sz w:val="20"/>
                                <w:szCs w:val="20"/>
                              </w:rPr>
                              <w:t xml:space="preserve"> cells by flow cytometry. (B) Representative offset histograms showing CD31, CD45, CD140a, and CD140b expression within the CD34</w:t>
                            </w:r>
                            <w:r w:rsidRPr="00F34A7B">
                              <w:rPr>
                                <w:rFonts w:ascii="Cambria Math" w:hAnsi="Cambria Math" w:cs="Cambria Math"/>
                                <w:sz w:val="20"/>
                                <w:szCs w:val="20"/>
                              </w:rPr>
                              <w:t>⁺</w:t>
                            </w:r>
                            <w:r w:rsidRPr="00F34A7B">
                              <w:rPr>
                                <w:rFonts w:ascii="Arial" w:hAnsi="Arial" w:cs="Arial"/>
                                <w:sz w:val="20"/>
                                <w:szCs w:val="20"/>
                              </w:rPr>
                              <w:t xml:space="preserve"> gated population from neonatal donor hiPSC-derived endothelial progenitors (ND1–ND3, green) and mature donor hiPSC-derived endothelial progenitors (MD1–MD3, purple). Unstained controls are shown in gray. ND-hiPSC-EPs exhibited a mixed CD31</w:t>
                            </w:r>
                            <w:r w:rsidRPr="00F34A7B">
                              <w:rPr>
                                <w:rFonts w:ascii="Cambria Math" w:hAnsi="Cambria Math" w:cs="Cambria Math"/>
                                <w:sz w:val="20"/>
                                <w:szCs w:val="20"/>
                              </w:rPr>
                              <w:t>⁻</w:t>
                            </w:r>
                            <w:r w:rsidRPr="00F34A7B">
                              <w:rPr>
                                <w:rFonts w:ascii="Arial" w:hAnsi="Arial" w:cs="Arial"/>
                                <w:sz w:val="20"/>
                                <w:szCs w:val="20"/>
                              </w:rPr>
                              <w:t>/CD31</w:t>
                            </w:r>
                            <w:r w:rsidRPr="00F34A7B">
                              <w:rPr>
                                <w:rFonts w:ascii="Cambria Math" w:hAnsi="Cambria Math" w:cs="Cambria Math"/>
                                <w:sz w:val="20"/>
                                <w:szCs w:val="20"/>
                              </w:rPr>
                              <w:t>⁺</w:t>
                            </w:r>
                            <w:r w:rsidRPr="00F34A7B">
                              <w:rPr>
                                <w:rFonts w:ascii="Arial" w:hAnsi="Arial" w:cs="Arial"/>
                                <w:sz w:val="20"/>
                                <w:szCs w:val="20"/>
                              </w:rPr>
                              <w:t xml:space="preserve"> distribution within the CD34</w:t>
                            </w:r>
                            <w:r w:rsidRPr="00F34A7B">
                              <w:rPr>
                                <w:rFonts w:ascii="Cambria Math" w:hAnsi="Cambria Math" w:cs="Cambria Math"/>
                                <w:sz w:val="20"/>
                                <w:szCs w:val="20"/>
                              </w:rPr>
                              <w:t>⁺</w:t>
                            </w:r>
                            <w:r w:rsidRPr="00F34A7B">
                              <w:rPr>
                                <w:rFonts w:ascii="Arial" w:hAnsi="Arial" w:cs="Arial"/>
                                <w:sz w:val="20"/>
                                <w:szCs w:val="20"/>
                              </w:rPr>
                              <w:t xml:space="preserve"> population, whereas MD-hiPSC-EPs were predominantly CD31</w:t>
                            </w:r>
                            <w:r w:rsidRPr="00F34A7B">
                              <w:rPr>
                                <w:rFonts w:ascii="Cambria Math" w:hAnsi="Cambria Math" w:cs="Cambria Math"/>
                                <w:sz w:val="20"/>
                                <w:szCs w:val="20"/>
                              </w:rPr>
                              <w:t>⁺</w:t>
                            </w:r>
                            <w:r w:rsidRPr="00F34A7B">
                              <w:rPr>
                                <w:rFonts w:ascii="Arial" w:hAnsi="Arial" w:cs="Arial"/>
                                <w:sz w:val="20"/>
                                <w:szCs w:val="20"/>
                              </w:rPr>
                              <w:t>. CD45 remained comparable to the unstained control across all cell lines, indicating no detectable CD45 expression. CD140a and CD140b showed shifts relative to unstained controls, but without a consistent ND- or MD-specific pattern. (C) Quantification of CD31, CD45, CD140a, and CD140b population fractions within the CD34</w:t>
                            </w:r>
                            <w:r w:rsidRPr="00F34A7B">
                              <w:rPr>
                                <w:rFonts w:ascii="Cambria Math" w:hAnsi="Cambria Math" w:cs="Cambria Math"/>
                                <w:sz w:val="20"/>
                                <w:szCs w:val="20"/>
                              </w:rPr>
                              <w:t>⁺</w:t>
                            </w:r>
                            <w:r w:rsidRPr="00F34A7B">
                              <w:rPr>
                                <w:rFonts w:ascii="Arial" w:hAnsi="Arial" w:cs="Arial"/>
                                <w:sz w:val="20"/>
                                <w:szCs w:val="20"/>
                              </w:rPr>
                              <w:t xml:space="preserve"> gated population. N = 3-6 independent differentiations. One-way-ANOVA with comparisons between ND-1/MD-1, ND-2/MD-2 and ND-3/MD-3. ** = p&lt;0.01, *** = p&lt;0.001, **** = p&lt;0.0001.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44BFDC" id="Text Box 9" o:spid="_x0000_s1027" type="#_x0000_t202" style="position:absolute;left:0;text-align:left;margin-left:20.8pt;margin-top:445.2pt;width:1in;height:169.8pt;z-index:251660288;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" fillcolor="white [3201]" stroked="f" strokeweight=".5pt">
                <v:textbox>
                  <w:txbxContent>
                    <w:p w14:paraId="4AFB8F38" w14:textId="77777777" w:rsidR="00A336C6" w:rsidRPr="00F34A7B" w:rsidRDefault="00A336C6" w:rsidP="00A336C6">
                      <w:pPr>
                        <w:rPr>
                          <w:rFonts w:ascii="Arial" w:hAnsi="Arial" w:cs="Arial"/>
                          <w:sz w:val="20"/>
                          <w:szCs w:val="20"/>
                        </w:rPr>
                      </w:pPr>
                      <w:r w:rsidRPr="00F34A7B">
                        <w:rPr>
                          <w:rFonts w:ascii="Arial" w:hAnsi="Arial" w:cs="Arial"/>
                          <w:sz w:val="20"/>
                          <w:szCs w:val="20"/>
                        </w:rPr>
                        <w:t>Supplementary Figure 2: (A) Representative gating strategy used to isolate CD34</w:t>
                      </w:r>
                      <w:r w:rsidRPr="00F34A7B">
                        <w:rPr>
                          <w:rFonts w:ascii="Cambria Math" w:hAnsi="Cambria Math" w:cs="Cambria Math"/>
                          <w:sz w:val="20"/>
                          <w:szCs w:val="20"/>
                        </w:rPr>
                        <w:t>⁺</w:t>
                      </w:r>
                      <w:r w:rsidRPr="00F34A7B">
                        <w:rPr>
                          <w:rFonts w:ascii="Arial" w:hAnsi="Arial" w:cs="Arial"/>
                          <w:sz w:val="20"/>
                          <w:szCs w:val="20"/>
                        </w:rPr>
                        <w:t xml:space="preserve"> cells by flow cytometry. (B) Representative offset histograms showing CD31, CD45, CD140a, and CD140b expression within the CD34</w:t>
                      </w:r>
                      <w:r w:rsidRPr="00F34A7B">
                        <w:rPr>
                          <w:rFonts w:ascii="Cambria Math" w:hAnsi="Cambria Math" w:cs="Cambria Math"/>
                          <w:sz w:val="20"/>
                          <w:szCs w:val="20"/>
                        </w:rPr>
                        <w:t>⁺</w:t>
                      </w:r>
                      <w:r w:rsidRPr="00F34A7B">
                        <w:rPr>
                          <w:rFonts w:ascii="Arial" w:hAnsi="Arial" w:cs="Arial"/>
                          <w:sz w:val="20"/>
                          <w:szCs w:val="20"/>
                        </w:rPr>
                        <w:t xml:space="preserve"> gated population from neonatal donor hiPSC-derived endothelial progenitors (ND1–ND3, green) and mature donor hiPSC-derived endothelial progenitors (MD1–MD3, purple). Unstained controls are shown in gray. ND-hiPSC-EPs exhibited a mixed CD31</w:t>
                      </w:r>
                      <w:r w:rsidRPr="00F34A7B">
                        <w:rPr>
                          <w:rFonts w:ascii="Cambria Math" w:hAnsi="Cambria Math" w:cs="Cambria Math"/>
                          <w:sz w:val="20"/>
                          <w:szCs w:val="20"/>
                        </w:rPr>
                        <w:t>⁻</w:t>
                      </w:r>
                      <w:r w:rsidRPr="00F34A7B">
                        <w:rPr>
                          <w:rFonts w:ascii="Arial" w:hAnsi="Arial" w:cs="Arial"/>
                          <w:sz w:val="20"/>
                          <w:szCs w:val="20"/>
                        </w:rPr>
                        <w:t>/CD31</w:t>
                      </w:r>
                      <w:r w:rsidRPr="00F34A7B">
                        <w:rPr>
                          <w:rFonts w:ascii="Cambria Math" w:hAnsi="Cambria Math" w:cs="Cambria Math"/>
                          <w:sz w:val="20"/>
                          <w:szCs w:val="20"/>
                        </w:rPr>
                        <w:t>⁺</w:t>
                      </w:r>
                      <w:r w:rsidRPr="00F34A7B">
                        <w:rPr>
                          <w:rFonts w:ascii="Arial" w:hAnsi="Arial" w:cs="Arial"/>
                          <w:sz w:val="20"/>
                          <w:szCs w:val="20"/>
                        </w:rPr>
                        <w:t xml:space="preserve"> distribution within the CD34</w:t>
                      </w:r>
                      <w:r w:rsidRPr="00F34A7B">
                        <w:rPr>
                          <w:rFonts w:ascii="Cambria Math" w:hAnsi="Cambria Math" w:cs="Cambria Math"/>
                          <w:sz w:val="20"/>
                          <w:szCs w:val="20"/>
                        </w:rPr>
                        <w:t>⁺</w:t>
                      </w:r>
                      <w:r w:rsidRPr="00F34A7B">
                        <w:rPr>
                          <w:rFonts w:ascii="Arial" w:hAnsi="Arial" w:cs="Arial"/>
                          <w:sz w:val="20"/>
                          <w:szCs w:val="20"/>
                        </w:rPr>
                        <w:t xml:space="preserve"> population, whereas MD-hiPSC-EPs were predominantly CD31</w:t>
                      </w:r>
                      <w:r w:rsidRPr="00F34A7B">
                        <w:rPr>
                          <w:rFonts w:ascii="Cambria Math" w:hAnsi="Cambria Math" w:cs="Cambria Math"/>
                          <w:sz w:val="20"/>
                          <w:szCs w:val="20"/>
                        </w:rPr>
                        <w:t>⁺</w:t>
                      </w:r>
                      <w:r w:rsidRPr="00F34A7B">
                        <w:rPr>
                          <w:rFonts w:ascii="Arial" w:hAnsi="Arial" w:cs="Arial"/>
                          <w:sz w:val="20"/>
                          <w:szCs w:val="20"/>
                        </w:rPr>
                        <w:t>. CD45 remained comparable to the unstained control across all cell lines, indicating no detectable CD45 expression. CD140a and CD140b showed shifts relative to unstained controls, but without a consistent ND- or MD-specific pattern. (C) Quantification of CD31, CD45, CD140a, and CD140b population fractions within the CD34</w:t>
                      </w:r>
                      <w:r w:rsidRPr="00F34A7B">
                        <w:rPr>
                          <w:rFonts w:ascii="Cambria Math" w:hAnsi="Cambria Math" w:cs="Cambria Math"/>
                          <w:sz w:val="20"/>
                          <w:szCs w:val="20"/>
                        </w:rPr>
                        <w:t>⁺</w:t>
                      </w:r>
                      <w:r w:rsidRPr="00F34A7B">
                        <w:rPr>
                          <w:rFonts w:ascii="Arial" w:hAnsi="Arial" w:cs="Arial"/>
                          <w:sz w:val="20"/>
                          <w:szCs w:val="20"/>
                        </w:rPr>
                        <w:t xml:space="preserve"> gated population. N = 3-6 independent differentiations. One-way-ANOVA with comparisons between ND-1/MD-1, ND-2/MD-2 and ND-3/MD-3. ** = p&lt;0.01, *** = p&lt;0.001, **** = p&lt;0.0001.</w:t>
                      </w:r>
                    </w:p>
                  </w:txbxContent>
                </v:textbox>
                <w10:wrap anchorx="margin"/>
              </v:shape>
            </w:pict>
          </mc:Fallback>
        </mc:AlternateContent>
      </w:r>
      <w:r>
        <w:rPr>
          <w:noProof/>
        </w:rPr>
        <w:drawing>
          <wp:inline distT="0" distB="0" distL="0" distR="0" wp14:anchorId="15C9D16F" wp14:editId="7A74427F">
            <wp:extent cx="5943600" cy="6240780"/>
            <wp:effectExtent l="0" t="0" r="0" b="7620"/>
            <wp:docPr id="7992269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26968" name="Picture 799226968"/>
                    <pic:cNvPicPr/>
                  </pic:nvPicPr>
                  <pic:blipFill>
                    <a:blip r:embed="rId5">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60224437" w14:textId="77777777" w:rsidR="00A336C6" w:rsidRDefault="00A336C6" w:rsidP="00A336C6">
      <w:pPr>
        <w:rPr>
          <w:rFonts w:ascii="Arial" w:eastAsia="Times New Roman" w:hAnsi="Arial" w:cs="Arial"/>
        </w:rPr>
      </w:pPr>
      <w:r>
        <w:rPr>
          <w:rFonts w:ascii="Arial" w:eastAsia="Times New Roman" w:hAnsi="Arial" w:cs="Arial"/>
        </w:rPr>
        <w:br w:type="page"/>
      </w:r>
    </w:p>
    <w:p w14:paraId="1D9FCE7B"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1312" behindDoc="0" locked="0" layoutInCell="1" allowOverlap="1" wp14:anchorId="592804A9" wp14:editId="6F47B16A">
                <wp:simplePos x="0" y="0"/>
                <wp:positionH relativeFrom="margin">
                  <wp:align>left</wp:align>
                </wp:positionH>
                <wp:positionV relativeFrom="paragraph">
                  <wp:posOffset>5242560</wp:posOffset>
                </wp:positionV>
                <wp:extent cx="914400" cy="1318260"/>
                <wp:effectExtent l="0" t="0" r="0" b="0"/>
                <wp:wrapNone/>
                <wp:docPr id="707094720" name="Text Box 10"/>
                <wp:cNvGraphicFramePr/>
                <a:graphic xmlns:a="http://schemas.openxmlformats.org/drawingml/2006/main">
                  <a:graphicData uri="http://schemas.microsoft.com/office/word/2010/wordprocessingShape">
                    <wps:wsp>
                      <wps:cNvSpPr txBox="1"/>
                      <wps:spPr>
                        <a:xfrm>
                          <a:off x="0" y="0"/>
                          <a:ext cx="914400" cy="1318260"/>
                        </a:xfrm>
                        <a:prstGeom prst="rect">
                          <a:avLst/>
                        </a:prstGeom>
                        <a:solidFill>
                          <a:schemeClr val="lt1"/>
                        </a:solidFill>
                        <a:ln w="6350">
                          <a:noFill/>
                        </a:ln>
                      </wps:spPr>
                      <wps:txbx>
                        <w:txbxContent>
                          <w:p w14:paraId="61972F6F"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3: (A) Representative immunostaining images showing VE-Cadherin (green), nuclei (blue) on the left and CD31 (green) and DAPI (blue) on the right from hiPSC-EPs cultured in 2D for 7 days in EGM2. Note the distinct membrane localization of VE-Cadherin and higher cell density in ND-iPSC-EPs, as well as the enlarged nuclei observed in MD-iPSC-EPs. (B) Quantification of cell density (cells/cm²), percent CD31</w:t>
                            </w:r>
                            <w:r w:rsidRPr="00323663">
                              <w:rPr>
                                <w:rFonts w:ascii="Arial" w:hAnsi="Arial" w:cs="Arial"/>
                                <w:sz w:val="20"/>
                                <w:szCs w:val="20"/>
                                <w:vertAlign w:val="superscript"/>
                              </w:rPr>
                              <w:t>+</w:t>
                            </w:r>
                            <w:r w:rsidRPr="00323663">
                              <w:rPr>
                                <w:rFonts w:ascii="Arial" w:hAnsi="Arial" w:cs="Arial"/>
                                <w:sz w:val="20"/>
                                <w:szCs w:val="20"/>
                              </w:rPr>
                              <w:t>, and mean perinuclear VE-Cadherin signal. N=6-30 regions of interest. One-way-ANOVA with comparisons between ND-1/MD-1, ND-2/MD-2 and ND-3/MD-3. * = p&lt;0.05, ** = p&lt;0.01, *** = p&lt;0.001, **** = p&lt;0.0001. Scale bar: 250 µm.</w:t>
                            </w:r>
                          </w:p>
                          <w:p w14:paraId="0003AA97" w14:textId="77777777" w:rsidR="00A336C6" w:rsidRDefault="00A336C6" w:rsidP="00A336C6"/>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2804A9" id="Text Box 10" o:spid="_x0000_s1028" type="#_x0000_t202" style="position:absolute;left:0;text-align:left;margin-left:0;margin-top:412.8pt;width:1in;height:103.8pt;z-index:25166131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" fillcolor="white [3201]" stroked="f" strokeweight=".5pt">
                <v:textbox>
                  <w:txbxContent>
                    <w:p w14:paraId="61972F6F"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3: (A) Representative immunostaining images showing VE-Cadherin (green), nuclei (blue) on the left and CD31 (green) and DAPI (blue) on the right from hiPSC-EPs cultured in 2D for 7 days in EGM2. Note the distinct membrane localization of VE-Cadherin and higher cell density in ND-iPSC-EPs, as well as the enlarged nuclei observed in MD-iPSC-EPs. (B) Quantification of cell density (cells/cm²), percent CD31</w:t>
                      </w:r>
                      <w:r w:rsidRPr="00323663">
                        <w:rPr>
                          <w:rFonts w:ascii="Arial" w:hAnsi="Arial" w:cs="Arial"/>
                          <w:sz w:val="20"/>
                          <w:szCs w:val="20"/>
                          <w:vertAlign w:val="superscript"/>
                        </w:rPr>
                        <w:t>+</w:t>
                      </w:r>
                      <w:r w:rsidRPr="00323663">
                        <w:rPr>
                          <w:rFonts w:ascii="Arial" w:hAnsi="Arial" w:cs="Arial"/>
                          <w:sz w:val="20"/>
                          <w:szCs w:val="20"/>
                        </w:rPr>
                        <w:t>, and mean perinuclear VE-Cadherin signal. N=6-30 regions of interest. One-way-ANOVA with comparisons between ND-1/MD-1, ND-2/MD-2 and ND-3/MD-3. * = p&lt;0.05, ** = p&lt;0.01, *** = p&lt;0.001, **** = p&lt;0.0001. Scale bar: 250 µm.</w:t>
                      </w:r>
                    </w:p>
                    <w:p w14:paraId="0003AA97" w14:textId="77777777" w:rsidR="00A336C6" w:rsidRDefault="00A336C6" w:rsidP="00A336C6"/>
                  </w:txbxContent>
                </v:textbox>
                <w10:wrap anchorx="margin"/>
              </v:shape>
            </w:pict>
          </mc:Fallback>
        </mc:AlternateContent>
      </w:r>
      <w:r>
        <w:rPr>
          <w:noProof/>
        </w:rPr>
        <w:drawing>
          <wp:inline distT="0" distB="0" distL="0" distR="0" wp14:anchorId="2C6E3089" wp14:editId="1A48C985">
            <wp:extent cx="5943600" cy="6240780"/>
            <wp:effectExtent l="0" t="0" r="0" b="7620"/>
            <wp:docPr id="2140296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96757" name="Picture 2140296757"/>
                    <pic:cNvPicPr/>
                  </pic:nvPicPr>
                  <pic:blipFill>
                    <a:blip r:embed="rId6">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16C11469" w14:textId="77777777" w:rsidR="00A336C6" w:rsidRDefault="00A336C6" w:rsidP="00A336C6">
      <w:pPr>
        <w:rPr>
          <w:rFonts w:ascii="Arial" w:eastAsia="Times New Roman" w:hAnsi="Arial" w:cs="Arial"/>
        </w:rPr>
      </w:pPr>
      <w:r>
        <w:rPr>
          <w:rFonts w:ascii="Arial" w:eastAsia="Times New Roman" w:hAnsi="Arial" w:cs="Arial"/>
        </w:rPr>
        <w:br w:type="page"/>
      </w:r>
    </w:p>
    <w:p w14:paraId="0838BDD0"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2336" behindDoc="0" locked="0" layoutInCell="1" allowOverlap="1" wp14:anchorId="7567AD4F" wp14:editId="2570A02B">
                <wp:simplePos x="0" y="0"/>
                <wp:positionH relativeFrom="margin">
                  <wp:align>right</wp:align>
                </wp:positionH>
                <wp:positionV relativeFrom="paragraph">
                  <wp:posOffset>5623560</wp:posOffset>
                </wp:positionV>
                <wp:extent cx="914400" cy="1112520"/>
                <wp:effectExtent l="0" t="0" r="0" b="0"/>
                <wp:wrapNone/>
                <wp:docPr id="298176090" name="Text Box 11"/>
                <wp:cNvGraphicFramePr/>
                <a:graphic xmlns:a="http://schemas.openxmlformats.org/drawingml/2006/main">
                  <a:graphicData uri="http://schemas.microsoft.com/office/word/2010/wordprocessingShape">
                    <wps:wsp>
                      <wps:cNvSpPr txBox="1"/>
                      <wps:spPr>
                        <a:xfrm>
                          <a:off x="0" y="0"/>
                          <a:ext cx="914400" cy="1112520"/>
                        </a:xfrm>
                        <a:prstGeom prst="rect">
                          <a:avLst/>
                        </a:prstGeom>
                        <a:solidFill>
                          <a:schemeClr val="lt1"/>
                        </a:solidFill>
                        <a:ln w="6350">
                          <a:noFill/>
                        </a:ln>
                      </wps:spPr>
                      <wps:txbx>
                        <w:txbxContent>
                          <w:p w14:paraId="44535AD6"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4: (A) Representative immunofluorescence images of ND- and MD-hiPSC-EPs, stained for DAPI (blue), and Senescence marker β-galactosidase (green) with or without the senescence inducing drug palbociclib following 7 days of culture. Scale bar = 200 μm. (B) Quantification of senescent cell fraction. Palbociclib treatment effectively induces senescence. MD lines do not display higher fractions of senescent cells. N = 8-21 regions of interest. Two-way ANOVA indicates row, column and interaction factors are all statistically significant with p&lt;0.0001.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67AD4F" id="Text Box 11" o:spid="_x0000_s1029" type="#_x0000_t202" style="position:absolute;left:0;text-align:left;margin-left:20.8pt;margin-top:442.8pt;width:1in;height:87.6pt;z-index:251662336;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" fillcolor="white [3201]" stroked="f" strokeweight=".5pt">
                <v:textbox>
                  <w:txbxContent>
                    <w:p w14:paraId="44535AD6"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4: (A) Representative immunofluorescence images of ND- and MD-hiPSC-EPs, stained for DAPI (blue), and Senescence marker β-galactosidase (green) with or without the senescence inducing drug palbociclib following 7 days of culture. Scale bar = 200 μm. (B) Quantification of senescent cell fraction. Palbociclib treatment effectively induces senescence. MD lines do not display higher fractions of senescent cells. N = 8-21 regions of interest. Two-way ANOVA indicates row, column and interaction factors are all statistically significant with p&lt;0.0001.</w:t>
                      </w:r>
                    </w:p>
                  </w:txbxContent>
                </v:textbox>
                <w10:wrap anchorx="margin"/>
              </v:shape>
            </w:pict>
          </mc:Fallback>
        </mc:AlternateContent>
      </w:r>
      <w:r>
        <w:rPr>
          <w:noProof/>
        </w:rPr>
        <w:drawing>
          <wp:inline distT="0" distB="0" distL="0" distR="0" wp14:anchorId="6CBD5DD2" wp14:editId="37C53714">
            <wp:extent cx="5943600" cy="6240780"/>
            <wp:effectExtent l="0" t="0" r="0" b="7620"/>
            <wp:docPr id="8656378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37815" name="Picture 865637815"/>
                    <pic:cNvPicPr/>
                  </pic:nvPicPr>
                  <pic:blipFill>
                    <a:blip r:embed="rId7">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03D69AD9" w14:textId="77777777" w:rsidR="00A336C6" w:rsidRDefault="00A336C6" w:rsidP="00A336C6">
      <w:pPr>
        <w:rPr>
          <w:rFonts w:ascii="Arial" w:eastAsia="Times New Roman" w:hAnsi="Arial" w:cs="Arial"/>
        </w:rPr>
      </w:pPr>
      <w:r>
        <w:rPr>
          <w:rFonts w:ascii="Arial" w:eastAsia="Times New Roman" w:hAnsi="Arial" w:cs="Arial"/>
        </w:rPr>
        <w:br w:type="page"/>
      </w:r>
    </w:p>
    <w:p w14:paraId="5AFF38D8"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3360" behindDoc="0" locked="0" layoutInCell="1" allowOverlap="1" wp14:anchorId="23DEC26C" wp14:editId="33D58001">
                <wp:simplePos x="0" y="0"/>
                <wp:positionH relativeFrom="margin">
                  <wp:align>left</wp:align>
                </wp:positionH>
                <wp:positionV relativeFrom="paragraph">
                  <wp:posOffset>3931920</wp:posOffset>
                </wp:positionV>
                <wp:extent cx="914400" cy="914400"/>
                <wp:effectExtent l="0" t="0" r="0" b="0"/>
                <wp:wrapNone/>
                <wp:docPr id="820513747" name="Text Box 12"/>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781C5737"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5: (A) Multidimensional scaling (MDS) plot of dimensions 1 and 2. Dimension 1 (34% variance) shows strong grouping by somatic cell origin, while dimension 2 (18%) reveals weaker separation by donor age.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DEC26C" id="Text Box 12" o:spid="_x0000_s1030" type="#_x0000_t202" style="position:absolute;left:0;text-align:left;margin-left:0;margin-top:309.6pt;width:1in;height:1in;z-index:251663360;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" fillcolor="white [3201]" stroked="f" strokeweight=".5pt">
                <v:textbox>
                  <w:txbxContent>
                    <w:p w14:paraId="781C5737"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5: (A) Multidimensional scaling (MDS) plot of dimensions 1 and 2. Dimension 1 (34% variance) shows strong grouping by somatic cell origin, while dimension 2 (18%) reveals weaker separation by donor age.</w:t>
                      </w:r>
                    </w:p>
                  </w:txbxContent>
                </v:textbox>
                <w10:wrap anchorx="margin"/>
              </v:shape>
            </w:pict>
          </mc:Fallback>
        </mc:AlternateContent>
      </w:r>
      <w:r>
        <w:rPr>
          <w:noProof/>
        </w:rPr>
        <w:drawing>
          <wp:inline distT="0" distB="0" distL="0" distR="0" wp14:anchorId="209C66E1" wp14:editId="2B238847">
            <wp:extent cx="5943600" cy="6240780"/>
            <wp:effectExtent l="0" t="0" r="0" b="7620"/>
            <wp:docPr id="126561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126" name="Picture 12656126"/>
                    <pic:cNvPicPr/>
                  </pic:nvPicPr>
                  <pic:blipFill>
                    <a:blip r:embed="rId8">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0C349149" w14:textId="77777777" w:rsidR="00A336C6" w:rsidRDefault="00A336C6" w:rsidP="00A336C6">
      <w:pPr>
        <w:rPr>
          <w:rFonts w:ascii="Arial" w:eastAsia="Times New Roman" w:hAnsi="Arial" w:cs="Arial"/>
        </w:rPr>
      </w:pPr>
      <w:r>
        <w:rPr>
          <w:rFonts w:ascii="Arial" w:eastAsia="Times New Roman" w:hAnsi="Arial" w:cs="Arial"/>
        </w:rPr>
        <w:br w:type="page"/>
      </w:r>
    </w:p>
    <w:p w14:paraId="57B656B0"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4384" behindDoc="0" locked="0" layoutInCell="1" allowOverlap="1" wp14:anchorId="0D2FCAA9" wp14:editId="7D7E7814">
                <wp:simplePos x="0" y="0"/>
                <wp:positionH relativeFrom="margin">
                  <wp:align>left</wp:align>
                </wp:positionH>
                <wp:positionV relativeFrom="paragraph">
                  <wp:posOffset>5326380</wp:posOffset>
                </wp:positionV>
                <wp:extent cx="914400" cy="914400"/>
                <wp:effectExtent l="0" t="0" r="0" b="0"/>
                <wp:wrapNone/>
                <wp:docPr id="1494085464" name="Text Box 13"/>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389DDE4F"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6: (A) Number of differentially methylated regions (DMRs) between each neonate and mature cell line. (B) Number of DMRs between each neonate line and every other neonate line. (C) Number of DMRs between each mature line and every other neonate line. (D) Heatmap of DMR-associated genes common to all ND/MD comparisons with an average CpG value difference greater than 0.1.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2FCAA9" id="Text Box 13" o:spid="_x0000_s1031" type="#_x0000_t202" style="position:absolute;left:0;text-align:left;margin-left:0;margin-top:419.4pt;width:1in;height:1in;z-index:25166438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" fillcolor="white [3201]" stroked="f" strokeweight=".5pt">
                <v:textbox>
                  <w:txbxContent>
                    <w:p w14:paraId="389DDE4F"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6: (A) Number of differentially methylated regions (DMRs) between each neonate and mature cell line. (B) Number of DMRs between each neonate line and every other neonate line. (C) Number of DMRs between each mature line and every other neonate line. (D) Heatmap of DMR-associated genes common to all ND/MD comparisons with an average CpG value difference greater than 0.1.</w:t>
                      </w:r>
                    </w:p>
                  </w:txbxContent>
                </v:textbox>
                <w10:wrap anchorx="margin"/>
              </v:shape>
            </w:pict>
          </mc:Fallback>
        </mc:AlternateContent>
      </w:r>
      <w:r>
        <w:rPr>
          <w:noProof/>
        </w:rPr>
        <w:drawing>
          <wp:inline distT="0" distB="0" distL="0" distR="0" wp14:anchorId="77D18A6D" wp14:editId="3CB87ED8">
            <wp:extent cx="5943600" cy="6240780"/>
            <wp:effectExtent l="0" t="0" r="0" b="7620"/>
            <wp:docPr id="2607577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757787" name="Picture 260757787"/>
                    <pic:cNvPicPr/>
                  </pic:nvPicPr>
                  <pic:blipFill>
                    <a:blip r:embed="rId9">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09288E7C" w14:textId="77777777" w:rsidR="00A336C6" w:rsidRDefault="00A336C6" w:rsidP="00A336C6">
      <w:pPr>
        <w:rPr>
          <w:rFonts w:ascii="Arial" w:eastAsia="Times New Roman" w:hAnsi="Arial" w:cs="Arial"/>
        </w:rPr>
      </w:pPr>
      <w:r>
        <w:rPr>
          <w:rFonts w:ascii="Arial" w:eastAsia="Times New Roman" w:hAnsi="Arial" w:cs="Arial"/>
        </w:rPr>
        <w:br w:type="page"/>
      </w:r>
    </w:p>
    <w:p w14:paraId="73EED7C7"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5408" behindDoc="0" locked="0" layoutInCell="1" allowOverlap="1" wp14:anchorId="0CE6F911" wp14:editId="13EDB76D">
                <wp:simplePos x="0" y="0"/>
                <wp:positionH relativeFrom="margin">
                  <wp:align>left</wp:align>
                </wp:positionH>
                <wp:positionV relativeFrom="paragraph">
                  <wp:posOffset>5013960</wp:posOffset>
                </wp:positionV>
                <wp:extent cx="914400" cy="1623060"/>
                <wp:effectExtent l="0" t="0" r="0" b="0"/>
                <wp:wrapNone/>
                <wp:docPr id="1652589792" name="Text Box 14"/>
                <wp:cNvGraphicFramePr/>
                <a:graphic xmlns:a="http://schemas.openxmlformats.org/drawingml/2006/main">
                  <a:graphicData uri="http://schemas.microsoft.com/office/word/2010/wordprocessingShape">
                    <wps:wsp>
                      <wps:cNvSpPr txBox="1"/>
                      <wps:spPr>
                        <a:xfrm>
                          <a:off x="0" y="0"/>
                          <a:ext cx="914400" cy="1623060"/>
                        </a:xfrm>
                        <a:prstGeom prst="rect">
                          <a:avLst/>
                        </a:prstGeom>
                        <a:solidFill>
                          <a:schemeClr val="lt1"/>
                        </a:solidFill>
                        <a:ln w="6350">
                          <a:noFill/>
                        </a:ln>
                      </wps:spPr>
                      <wps:txbx>
                        <w:txbxContent>
                          <w:p w14:paraId="40CAB587"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7: Heatmap of relevant differentially methylated region (DMR)-associated genes that are expressed in hiPSC-EPs. Gene associated DMRs are shared across at least two ND/MD comparisons, with a methylation difference of less than 0.1 for the third ND/MD comparison. (B) Horvath predicted age shows no clear trends, with some lines appearing to have a negative predicted age similar to undifferentiated iPSCs. N = 3 independent differentiations, * = p &lt;0.05. (C) Predicted gestational age based on the Knight epigenetic clock, showing significantly lower predicted gestational age in ND-1/MD-1 and ND-2/MD-2 and significantly lower age in ND-2/MD-3. N = 3. One-way-ANOVA with comparisons between ND-1/MD-1, ND-2/MD-2, ND-3/MD-3 and ND-2/MD-3. *p &lt;0.05. **p 0.01, ****p &lt;0.00001.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E6F911" id="Text Box 14" o:spid="_x0000_s1032" type="#_x0000_t202" style="position:absolute;left:0;text-align:left;margin-left:0;margin-top:394.8pt;width:1in;height:127.8pt;z-index:25166540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" fillcolor="white [3201]" stroked="f" strokeweight=".5pt">
                <v:textbox>
                  <w:txbxContent>
                    <w:p w14:paraId="40CAB587"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7: Heatmap of relevant differentially methylated region (DMR)-associated genes that are expressed in hiPSC-EPs. Gene associated DMRs are shared across at least two ND/MD comparisons, with a methylation difference of less than 0.1 for the third ND/MD comparison. (B) Horvath predicted age shows no clear trends, with some lines appearing to have a negative predicted age similar to undifferentiated iPSCs. N = 3 independent differentiations, * = p &lt;0.05. (C) Predicted gestational age based on the Knight epigenetic clock, showing significantly lower predicted gestational age in ND-1/MD-1 and ND-2/MD-2 and significantly lower age in ND-2/MD-3. N = 3. One-way-ANOVA with comparisons between ND-1/MD-1, ND-2/MD-2, ND-3/MD-3 and ND-2/MD-3. *p &lt;0.05. **p 0.01, ****p &lt;0.00001.</w:t>
                      </w:r>
                    </w:p>
                  </w:txbxContent>
                </v:textbox>
                <w10:wrap anchorx="margin"/>
              </v:shape>
            </w:pict>
          </mc:Fallback>
        </mc:AlternateContent>
      </w:r>
      <w:r>
        <w:rPr>
          <w:noProof/>
        </w:rPr>
        <w:drawing>
          <wp:inline distT="0" distB="0" distL="0" distR="0" wp14:anchorId="21A2978F" wp14:editId="759CFCF2">
            <wp:extent cx="5943600" cy="6240780"/>
            <wp:effectExtent l="0" t="0" r="0" b="7620"/>
            <wp:docPr id="21223517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51754" name="Picture 2122351754"/>
                    <pic:cNvPicPr/>
                  </pic:nvPicPr>
                  <pic:blipFill>
                    <a:blip r:embed="rId10">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2CD8D7FE" w14:textId="77777777" w:rsidR="00A336C6" w:rsidRDefault="00A336C6" w:rsidP="00A336C6">
      <w:pPr>
        <w:rPr>
          <w:rFonts w:ascii="Arial" w:eastAsia="Times New Roman" w:hAnsi="Arial" w:cs="Arial"/>
        </w:rPr>
      </w:pPr>
      <w:r>
        <w:rPr>
          <w:rFonts w:ascii="Arial" w:eastAsia="Times New Roman" w:hAnsi="Arial" w:cs="Arial"/>
        </w:rPr>
        <w:br w:type="page"/>
      </w:r>
    </w:p>
    <w:p w14:paraId="15E2F7EE"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6432" behindDoc="0" locked="0" layoutInCell="1" allowOverlap="1" wp14:anchorId="22A0D25E" wp14:editId="0EB31CC5">
                <wp:simplePos x="0" y="0"/>
                <wp:positionH relativeFrom="margin">
                  <wp:align>left</wp:align>
                </wp:positionH>
                <wp:positionV relativeFrom="paragraph">
                  <wp:posOffset>5059680</wp:posOffset>
                </wp:positionV>
                <wp:extent cx="914400" cy="914400"/>
                <wp:effectExtent l="0" t="0" r="0" b="0"/>
                <wp:wrapNone/>
                <wp:docPr id="778795362" name="Text Box 15"/>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719AC945"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8. (A) MDS plot of dimensions 1 and 2 showing strong grouping along somatic cell origins in dimension 1 and weak grouping among age groups in dimension 2. (B) MDS plots of dimension 2 and 4 showing strong grouping in dimension 2 and ND but not MD grouping in dimension 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A0D25E" id="Text Box 15" o:spid="_x0000_s1033" type="#_x0000_t202" style="position:absolute;left:0;text-align:left;margin-left:0;margin-top:398.4pt;width:1in;height:1in;z-index:251666432;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" fillcolor="white [3201]" stroked="f" strokeweight=".5pt">
                <v:textbox>
                  <w:txbxContent>
                    <w:p w14:paraId="719AC945"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8. (A) MDS plot of dimensions 1 and 2 showing strong grouping along somatic cell origins in dimension 1 and weak grouping among age groups in dimension 2. (B) MDS plots of dimension 2 and 4 showing strong grouping in dimension 2 and ND but not MD grouping in dimension 4.</w:t>
                      </w:r>
                    </w:p>
                  </w:txbxContent>
                </v:textbox>
                <w10:wrap anchorx="margin"/>
              </v:shape>
            </w:pict>
          </mc:Fallback>
        </mc:AlternateContent>
      </w:r>
      <w:r>
        <w:rPr>
          <w:noProof/>
        </w:rPr>
        <w:drawing>
          <wp:inline distT="0" distB="0" distL="0" distR="0" wp14:anchorId="08636306" wp14:editId="67DA8C28">
            <wp:extent cx="5943600" cy="6240780"/>
            <wp:effectExtent l="0" t="0" r="0" b="7620"/>
            <wp:docPr id="20538291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829128" name="Picture 2053829128"/>
                    <pic:cNvPicPr/>
                  </pic:nvPicPr>
                  <pic:blipFill>
                    <a:blip r:embed="rId11">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3F4E11F8" w14:textId="77777777" w:rsidR="00A336C6" w:rsidRDefault="00A336C6" w:rsidP="00A336C6">
      <w:pPr>
        <w:rPr>
          <w:rFonts w:ascii="Arial" w:eastAsia="Times New Roman" w:hAnsi="Arial" w:cs="Arial"/>
        </w:rPr>
      </w:pPr>
      <w:r>
        <w:rPr>
          <w:rFonts w:ascii="Arial" w:eastAsia="Times New Roman" w:hAnsi="Arial" w:cs="Arial"/>
        </w:rPr>
        <w:br w:type="page"/>
      </w:r>
    </w:p>
    <w:p w14:paraId="31142CE3" w14:textId="77777777" w:rsidR="00A336C6"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7456" behindDoc="0" locked="0" layoutInCell="1" allowOverlap="1" wp14:anchorId="463FD676" wp14:editId="1A135758">
                <wp:simplePos x="0" y="0"/>
                <wp:positionH relativeFrom="margin">
                  <wp:align>left</wp:align>
                </wp:positionH>
                <wp:positionV relativeFrom="paragraph">
                  <wp:posOffset>5707380</wp:posOffset>
                </wp:positionV>
                <wp:extent cx="914400" cy="914400"/>
                <wp:effectExtent l="0" t="0" r="0" b="0"/>
                <wp:wrapNone/>
                <wp:docPr id="1630754411" name="Text Box 16"/>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580424D9" w14:textId="77777777" w:rsidR="00A336C6" w:rsidRPr="00323663" w:rsidRDefault="00A336C6" w:rsidP="00A336C6">
                            <w:pPr>
                              <w:rPr>
                                <w:rFonts w:ascii="Arial" w:hAnsi="Arial" w:cs="Arial"/>
                                <w:sz w:val="20"/>
                                <w:szCs w:val="20"/>
                              </w:rPr>
                            </w:pPr>
                            <w:r w:rsidRPr="00323663">
                              <w:rPr>
                                <w:rFonts w:ascii="Arial" w:hAnsi="Arial" w:cs="Arial"/>
                                <w:sz w:val="20"/>
                                <w:szCs w:val="20"/>
                              </w:rPr>
                              <w:t>Supp Figure 9. (A) Nitric Oxide Mediated Signal Transduction demonstrates elevated gene expression in ND1 and ND2 relative to other donors. (B) Barbed End Actin Filament Capping displays greater activation in ND1 and MD1 compared to other lines, suggesting donor-specific effects. (C) Regulation of Extracellular Matrix Organization reveals higher expression in ND1 and ND2, with ND3 clustering with MD lines but showing increased activation relative to other MD donors.</w:t>
                            </w:r>
                          </w:p>
                          <w:p w14:paraId="3206857B" w14:textId="77777777" w:rsidR="00A336C6" w:rsidRPr="00323663" w:rsidRDefault="00A336C6" w:rsidP="00A336C6">
                            <w:pPr>
                              <w:rPr>
                                <w:rFonts w:ascii="Arial" w:hAnsi="Arial" w:cs="Arial"/>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3FD676" id="Text Box 16" o:spid="_x0000_s1034" type="#_x0000_t202" style="position:absolute;left:0;text-align:left;margin-left:0;margin-top:449.4pt;width:1in;height:1in;z-index:251667456;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" fillcolor="white [3201]" stroked="f" strokeweight=".5pt">
                <v:textbox>
                  <w:txbxContent>
                    <w:p w14:paraId="580424D9" w14:textId="77777777" w:rsidR="00A336C6" w:rsidRPr="00323663" w:rsidRDefault="00A336C6" w:rsidP="00A336C6">
                      <w:pPr>
                        <w:rPr>
                          <w:rFonts w:ascii="Arial" w:hAnsi="Arial" w:cs="Arial"/>
                          <w:sz w:val="20"/>
                          <w:szCs w:val="20"/>
                        </w:rPr>
                      </w:pPr>
                      <w:r w:rsidRPr="00323663">
                        <w:rPr>
                          <w:rFonts w:ascii="Arial" w:hAnsi="Arial" w:cs="Arial"/>
                          <w:sz w:val="20"/>
                          <w:szCs w:val="20"/>
                        </w:rPr>
                        <w:t>Supp Figure 9. (A) Nitric Oxide Mediated Signal Transduction demonstrates elevated gene expression in ND1 and ND2 relative to other donors. (B) Barbed End Actin Filament Capping displays greater activation in ND1 and MD1 compared to other lines, suggesting donor-specific effects. (C) Regulation of Extracellular Matrix Organization reveals higher expression in ND1 and ND2, with ND3 clustering with MD lines but showing increased activation relative to other MD donors.</w:t>
                      </w:r>
                    </w:p>
                    <w:p w14:paraId="3206857B" w14:textId="77777777" w:rsidR="00A336C6" w:rsidRPr="00323663" w:rsidRDefault="00A336C6" w:rsidP="00A336C6">
                      <w:pPr>
                        <w:rPr>
                          <w:rFonts w:ascii="Arial" w:hAnsi="Arial" w:cs="Arial"/>
                          <w:sz w:val="20"/>
                          <w:szCs w:val="20"/>
                        </w:rPr>
                      </w:pPr>
                    </w:p>
                  </w:txbxContent>
                </v:textbox>
                <w10:wrap anchorx="margin"/>
              </v:shape>
            </w:pict>
          </mc:Fallback>
        </mc:AlternateContent>
      </w:r>
      <w:r>
        <w:rPr>
          <w:noProof/>
        </w:rPr>
        <w:drawing>
          <wp:inline distT="0" distB="0" distL="0" distR="0" wp14:anchorId="730A82B6" wp14:editId="754585B6">
            <wp:extent cx="5943600" cy="6240780"/>
            <wp:effectExtent l="0" t="0" r="0" b="7620"/>
            <wp:docPr id="17750922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092260" name="Picture 1775092260"/>
                    <pic:cNvPicPr/>
                  </pic:nvPicPr>
                  <pic:blipFill>
                    <a:blip r:embed="rId12">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6E0AD97A" w14:textId="77777777" w:rsidR="00A336C6" w:rsidRDefault="00A336C6" w:rsidP="00A336C6">
      <w:pPr>
        <w:rPr>
          <w:rFonts w:ascii="Arial" w:eastAsia="Times New Roman" w:hAnsi="Arial" w:cs="Arial"/>
        </w:rPr>
      </w:pPr>
      <w:r>
        <w:rPr>
          <w:rFonts w:ascii="Arial" w:eastAsia="Times New Roman" w:hAnsi="Arial" w:cs="Arial"/>
        </w:rPr>
        <w:br w:type="page"/>
      </w:r>
    </w:p>
    <w:p w14:paraId="3146156E" w14:textId="77777777" w:rsidR="00A336C6" w:rsidRDefault="00A336C6" w:rsidP="00A336C6">
      <w:pPr>
        <w:spacing w:line="240" w:lineRule="auto"/>
        <w:jc w:val="both"/>
        <w:rPr>
          <w:rFonts w:ascii="Arial" w:eastAsia="Times New Roman" w:hAnsi="Arial" w:cs="Arial"/>
        </w:rPr>
      </w:pPr>
      <w:r>
        <w:rPr>
          <w:rFonts w:ascii="Arial" w:eastAsia="Times New Roman" w:hAnsi="Arial" w:cs="Arial"/>
          <w:noProof/>
        </w:rPr>
        <w:lastRenderedPageBreak/>
        <mc:AlternateContent>
          <mc:Choice Requires="wps">
            <w:drawing>
              <wp:anchor distT="0" distB="0" distL="114300" distR="114300" simplePos="0" relativeHeight="251668480" behindDoc="0" locked="0" layoutInCell="1" allowOverlap="1" wp14:anchorId="0727923A" wp14:editId="14217F55">
                <wp:simplePos x="0" y="0"/>
                <wp:positionH relativeFrom="margin">
                  <wp:align>right</wp:align>
                </wp:positionH>
                <wp:positionV relativeFrom="paragraph">
                  <wp:posOffset>5615940</wp:posOffset>
                </wp:positionV>
                <wp:extent cx="5660390" cy="2316480"/>
                <wp:effectExtent l="0" t="0" r="0" b="7620"/>
                <wp:wrapNone/>
                <wp:docPr id="2039265361" name="Text Box 17"/>
                <wp:cNvGraphicFramePr/>
                <a:graphic xmlns:a="http://schemas.openxmlformats.org/drawingml/2006/main">
                  <a:graphicData uri="http://schemas.microsoft.com/office/word/2010/wordprocessingShape">
                    <wps:wsp>
                      <wps:cNvSpPr txBox="1"/>
                      <wps:spPr>
                        <a:xfrm>
                          <a:off x="0" y="0"/>
                          <a:ext cx="5660390" cy="2316480"/>
                        </a:xfrm>
                        <a:prstGeom prst="rect">
                          <a:avLst/>
                        </a:prstGeom>
                        <a:solidFill>
                          <a:schemeClr val="lt1"/>
                        </a:solidFill>
                        <a:ln w="6350">
                          <a:noFill/>
                        </a:ln>
                      </wps:spPr>
                      <wps:txbx>
                        <w:txbxContent>
                          <w:p w14:paraId="68EB647A"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1</w:t>
                            </w:r>
                            <w:r>
                              <w:rPr>
                                <w:rFonts w:ascii="Arial" w:hAnsi="Arial" w:cs="Arial"/>
                                <w:sz w:val="20"/>
                                <w:szCs w:val="20"/>
                              </w:rPr>
                              <w:t>0</w:t>
                            </w:r>
                            <w:r w:rsidRPr="00323663">
                              <w:rPr>
                                <w:rFonts w:ascii="Arial" w:hAnsi="Arial" w:cs="Arial"/>
                                <w:sz w:val="20"/>
                                <w:szCs w:val="20"/>
                              </w:rPr>
                              <w:t xml:space="preserve">. </w:t>
                            </w:r>
                            <w:r>
                              <w:rPr>
                                <w:rFonts w:ascii="Arial" w:hAnsi="Arial" w:cs="Arial"/>
                                <w:sz w:val="20"/>
                                <w:szCs w:val="20"/>
                              </w:rPr>
                              <w:br/>
                            </w:r>
                            <w:r w:rsidRPr="00323663">
                              <w:rPr>
                                <w:rFonts w:ascii="Arial" w:hAnsi="Arial" w:cs="Arial"/>
                                <w:sz w:val="20"/>
                                <w:szCs w:val="20"/>
                              </w:rPr>
                              <w:t>a/b/c</w:t>
                            </w:r>
                          </w:p>
                          <w:p w14:paraId="297A7BDB" w14:textId="77777777" w:rsidR="00A336C6" w:rsidRPr="00323663" w:rsidRDefault="00A336C6" w:rsidP="00A336C6">
                            <w:pPr>
                              <w:rPr>
                                <w:rFonts w:ascii="Arial" w:hAnsi="Arial" w:cs="Arial"/>
                                <w:sz w:val="20"/>
                                <w:szCs w:val="20"/>
                              </w:rPr>
                            </w:pPr>
                            <w:r w:rsidRPr="00323663">
                              <w:rPr>
                                <w:rFonts w:ascii="Arial" w:hAnsi="Arial" w:cs="Arial"/>
                                <w:sz w:val="20"/>
                                <w:szCs w:val="20"/>
                              </w:rPr>
                              <w:t>a: Treated for 3+ passages as hiPSCs</w:t>
                            </w:r>
                          </w:p>
                          <w:p w14:paraId="5AEE4ABC" w14:textId="77777777" w:rsidR="00A336C6" w:rsidRPr="00323663" w:rsidRDefault="00A336C6" w:rsidP="00A336C6">
                            <w:pPr>
                              <w:rPr>
                                <w:rFonts w:ascii="Arial" w:hAnsi="Arial" w:cs="Arial"/>
                                <w:sz w:val="20"/>
                                <w:szCs w:val="20"/>
                              </w:rPr>
                            </w:pPr>
                            <w:r w:rsidRPr="00323663">
                              <w:rPr>
                                <w:rFonts w:ascii="Arial" w:hAnsi="Arial" w:cs="Arial"/>
                                <w:sz w:val="20"/>
                                <w:szCs w:val="20"/>
                              </w:rPr>
                              <w:t>b: Treated during differentiation</w:t>
                            </w:r>
                          </w:p>
                          <w:p w14:paraId="02B607C2" w14:textId="77777777" w:rsidR="00A336C6" w:rsidRPr="00323663" w:rsidRDefault="00A336C6" w:rsidP="00A336C6">
                            <w:pPr>
                              <w:rPr>
                                <w:rFonts w:ascii="Arial" w:hAnsi="Arial" w:cs="Arial"/>
                                <w:sz w:val="20"/>
                                <w:szCs w:val="20"/>
                              </w:rPr>
                            </w:pPr>
                            <w:r w:rsidRPr="00323663">
                              <w:rPr>
                                <w:rFonts w:ascii="Arial" w:hAnsi="Arial" w:cs="Arial"/>
                                <w:sz w:val="20"/>
                                <w:szCs w:val="20"/>
                              </w:rPr>
                              <w:t>c: Treated during network formation</w:t>
                            </w:r>
                          </w:p>
                          <w:p w14:paraId="1C5461D0" w14:textId="77777777" w:rsidR="00A336C6" w:rsidRPr="00323663" w:rsidRDefault="00A336C6" w:rsidP="00A336C6">
                            <w:pPr>
                              <w:rPr>
                                <w:rFonts w:ascii="Arial" w:hAnsi="Arial" w:cs="Arial"/>
                                <w:sz w:val="20"/>
                                <w:szCs w:val="20"/>
                              </w:rPr>
                            </w:pPr>
                            <w:r>
                              <w:rPr>
                                <w:rFonts w:ascii="Arial" w:hAnsi="Arial" w:cs="Arial"/>
                                <w:sz w:val="20"/>
                                <w:szCs w:val="20"/>
                              </w:rPr>
                              <w:br/>
                            </w:r>
                            <w:r w:rsidRPr="00323663">
                              <w:rPr>
                                <w:rFonts w:ascii="Arial" w:hAnsi="Arial" w:cs="Arial"/>
                                <w:sz w:val="20"/>
                                <w:szCs w:val="20"/>
                              </w:rPr>
                              <w:t>(A) Graphical abstract showing the timing of mitoTEMPO treated and untreated groups used for comparison. (B)  Representative images of hiPSC-EPs treated and untreated with mitoTEMPO at various stages and after 7 days of encapsulation in a Collagen/NorHA hydrogel. Only hiPSC pretreatment without mitoTEMPO supplement during differentiation formed interconnected networks. Scalebar is 200 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7923A" id="Text Box 17" o:spid="_x0000_s1035" type="#_x0000_t202" style="position:absolute;left:0;text-align:left;margin-left:394.5pt;margin-top:442.2pt;width:445.7pt;height:182.4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" fillcolor="white [3201]" stroked="f" strokeweight=".5pt">
                <v:textbox>
                  <w:txbxContent>
                    <w:p w14:paraId="68EB647A" w14:textId="77777777" w:rsidR="00A336C6" w:rsidRPr="00323663" w:rsidRDefault="00A336C6" w:rsidP="00A336C6">
                      <w:pPr>
                        <w:rPr>
                          <w:rFonts w:ascii="Arial" w:hAnsi="Arial" w:cs="Arial"/>
                          <w:sz w:val="20"/>
                          <w:szCs w:val="20"/>
                        </w:rPr>
                      </w:pPr>
                      <w:r w:rsidRPr="00323663">
                        <w:rPr>
                          <w:rFonts w:ascii="Arial" w:hAnsi="Arial" w:cs="Arial"/>
                          <w:sz w:val="20"/>
                          <w:szCs w:val="20"/>
                        </w:rPr>
                        <w:t>Supplemental Figure 1</w:t>
                      </w:r>
                      <w:r>
                        <w:rPr>
                          <w:rFonts w:ascii="Arial" w:hAnsi="Arial" w:cs="Arial"/>
                          <w:sz w:val="20"/>
                          <w:szCs w:val="20"/>
                        </w:rPr>
                        <w:t>0</w:t>
                      </w:r>
                      <w:r w:rsidRPr="00323663">
                        <w:rPr>
                          <w:rFonts w:ascii="Arial" w:hAnsi="Arial" w:cs="Arial"/>
                          <w:sz w:val="20"/>
                          <w:szCs w:val="20"/>
                        </w:rPr>
                        <w:t xml:space="preserve">. </w:t>
                      </w:r>
                      <w:r>
                        <w:rPr>
                          <w:rFonts w:ascii="Arial" w:hAnsi="Arial" w:cs="Arial"/>
                          <w:sz w:val="20"/>
                          <w:szCs w:val="20"/>
                        </w:rPr>
                        <w:br/>
                      </w:r>
                      <w:r w:rsidRPr="00323663">
                        <w:rPr>
                          <w:rFonts w:ascii="Arial" w:hAnsi="Arial" w:cs="Arial"/>
                          <w:sz w:val="20"/>
                          <w:szCs w:val="20"/>
                        </w:rPr>
                        <w:t>a/b/c</w:t>
                      </w:r>
                    </w:p>
                    <w:p w14:paraId="297A7BDB" w14:textId="77777777" w:rsidR="00A336C6" w:rsidRPr="00323663" w:rsidRDefault="00A336C6" w:rsidP="00A336C6">
                      <w:pPr>
                        <w:rPr>
                          <w:rFonts w:ascii="Arial" w:hAnsi="Arial" w:cs="Arial"/>
                          <w:sz w:val="20"/>
                          <w:szCs w:val="20"/>
                        </w:rPr>
                      </w:pPr>
                      <w:r w:rsidRPr="00323663">
                        <w:rPr>
                          <w:rFonts w:ascii="Arial" w:hAnsi="Arial" w:cs="Arial"/>
                          <w:sz w:val="20"/>
                          <w:szCs w:val="20"/>
                        </w:rPr>
                        <w:t>a: Treated for 3+ passages as hiPSCs</w:t>
                      </w:r>
                    </w:p>
                    <w:p w14:paraId="5AEE4ABC" w14:textId="77777777" w:rsidR="00A336C6" w:rsidRPr="00323663" w:rsidRDefault="00A336C6" w:rsidP="00A336C6">
                      <w:pPr>
                        <w:rPr>
                          <w:rFonts w:ascii="Arial" w:hAnsi="Arial" w:cs="Arial"/>
                          <w:sz w:val="20"/>
                          <w:szCs w:val="20"/>
                        </w:rPr>
                      </w:pPr>
                      <w:r w:rsidRPr="00323663">
                        <w:rPr>
                          <w:rFonts w:ascii="Arial" w:hAnsi="Arial" w:cs="Arial"/>
                          <w:sz w:val="20"/>
                          <w:szCs w:val="20"/>
                        </w:rPr>
                        <w:t>b: Treated during differentiation</w:t>
                      </w:r>
                    </w:p>
                    <w:p w14:paraId="02B607C2" w14:textId="77777777" w:rsidR="00A336C6" w:rsidRPr="00323663" w:rsidRDefault="00A336C6" w:rsidP="00A336C6">
                      <w:pPr>
                        <w:rPr>
                          <w:rFonts w:ascii="Arial" w:hAnsi="Arial" w:cs="Arial"/>
                          <w:sz w:val="20"/>
                          <w:szCs w:val="20"/>
                        </w:rPr>
                      </w:pPr>
                      <w:r w:rsidRPr="00323663">
                        <w:rPr>
                          <w:rFonts w:ascii="Arial" w:hAnsi="Arial" w:cs="Arial"/>
                          <w:sz w:val="20"/>
                          <w:szCs w:val="20"/>
                        </w:rPr>
                        <w:t>c: Treated during network formation</w:t>
                      </w:r>
                    </w:p>
                    <w:p w14:paraId="1C5461D0" w14:textId="77777777" w:rsidR="00A336C6" w:rsidRPr="00323663" w:rsidRDefault="00A336C6" w:rsidP="00A336C6">
                      <w:pPr>
                        <w:rPr>
                          <w:rFonts w:ascii="Arial" w:hAnsi="Arial" w:cs="Arial"/>
                          <w:sz w:val="20"/>
                          <w:szCs w:val="20"/>
                        </w:rPr>
                      </w:pPr>
                      <w:r>
                        <w:rPr>
                          <w:rFonts w:ascii="Arial" w:hAnsi="Arial" w:cs="Arial"/>
                          <w:sz w:val="20"/>
                          <w:szCs w:val="20"/>
                        </w:rPr>
                        <w:br/>
                      </w:r>
                      <w:r w:rsidRPr="00323663">
                        <w:rPr>
                          <w:rFonts w:ascii="Arial" w:hAnsi="Arial" w:cs="Arial"/>
                          <w:sz w:val="20"/>
                          <w:szCs w:val="20"/>
                        </w:rPr>
                        <w:t>(A) Graphical abstract showing the timing of mitoTEMPO treated and untreated groups used for comparison. (B)  Representative images of hiPSC-EPs treated and untreated with mitoTEMPO at various stages and after 7 days of encapsulation in a Collagen/NorHA hydrogel. Only hiPSC pretreatment without mitoTEMPO supplement during differentiation formed interconnected networks. Scalebar is 200 µm.</w:t>
                      </w:r>
                    </w:p>
                  </w:txbxContent>
                </v:textbox>
                <w10:wrap anchorx="margin"/>
              </v:shape>
            </w:pict>
          </mc:Fallback>
        </mc:AlternateContent>
      </w:r>
      <w:r>
        <w:rPr>
          <w:noProof/>
        </w:rPr>
        <w:drawing>
          <wp:inline distT="0" distB="0" distL="0" distR="0" wp14:anchorId="641EA58F" wp14:editId="06C25C4F">
            <wp:extent cx="5943600" cy="6240780"/>
            <wp:effectExtent l="0" t="0" r="0" b="7620"/>
            <wp:docPr id="20947857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85733" name="Picture 2094785733"/>
                    <pic:cNvPicPr/>
                  </pic:nvPicPr>
                  <pic:blipFill>
                    <a:blip r:embed="rId13">
                      <a:extLst>
                        <a:ext uri="{28A0092B-C50C-407E-A947-70E740481C1C}">
                          <a14:useLocalDpi xmlns:a14="http://schemas.microsoft.com/office/drawing/2010/main" val="0"/>
                        </a:ext>
                      </a:extLst>
                    </a:blip>
                    <a:stretch>
                      <a:fillRect/>
                    </a:stretch>
                  </pic:blipFill>
                  <pic:spPr>
                    <a:xfrm>
                      <a:off x="0" y="0"/>
                      <a:ext cx="5943600" cy="6240780"/>
                    </a:xfrm>
                    <a:prstGeom prst="rect">
                      <a:avLst/>
                    </a:prstGeom>
                  </pic:spPr>
                </pic:pic>
              </a:graphicData>
            </a:graphic>
          </wp:inline>
        </w:drawing>
      </w:r>
    </w:p>
    <w:p w14:paraId="68B0FD64" w14:textId="77777777" w:rsidR="00A336C6" w:rsidRDefault="00A336C6" w:rsidP="00A336C6">
      <w:pPr>
        <w:rPr>
          <w:rFonts w:ascii="Arial" w:eastAsia="Times New Roman" w:hAnsi="Arial" w:cs="Arial"/>
        </w:rPr>
      </w:pPr>
      <w:r>
        <w:rPr>
          <w:rFonts w:ascii="Arial" w:eastAsia="Times New Roman" w:hAnsi="Arial" w:cs="Arial"/>
        </w:rPr>
        <w:br w:type="page"/>
      </w:r>
    </w:p>
    <w:p w14:paraId="68F5DCC3" w14:textId="77777777" w:rsidR="00A336C6" w:rsidRPr="00F93C19" w:rsidRDefault="00A336C6" w:rsidP="00A336C6">
      <w:pPr>
        <w:spacing w:line="240" w:lineRule="auto"/>
        <w:jc w:val="both"/>
        <w:rPr>
          <w:rFonts w:ascii="Arial" w:eastAsia="Times New Roman" w:hAnsi="Arial" w:cs="Arial"/>
        </w:rPr>
      </w:pPr>
      <w:r>
        <w:rPr>
          <w:noProof/>
        </w:rPr>
        <w:lastRenderedPageBreak/>
        <mc:AlternateContent>
          <mc:Choice Requires="wps">
            <w:drawing>
              <wp:anchor distT="0" distB="0" distL="114300" distR="114300" simplePos="0" relativeHeight="251669504" behindDoc="0" locked="0" layoutInCell="1" allowOverlap="1" wp14:anchorId="695BF1C1" wp14:editId="075655A7">
                <wp:simplePos x="0" y="0"/>
                <wp:positionH relativeFrom="margin">
                  <wp:align>right</wp:align>
                </wp:positionH>
                <wp:positionV relativeFrom="paragraph">
                  <wp:posOffset>7307580</wp:posOffset>
                </wp:positionV>
                <wp:extent cx="914400" cy="914400"/>
                <wp:effectExtent l="0" t="0" r="0" b="0"/>
                <wp:wrapNone/>
                <wp:docPr id="715499083" name="Text Box 18"/>
                <wp:cNvGraphicFramePr/>
                <a:graphic xmlns:a="http://schemas.openxmlformats.org/drawingml/2006/main">
                  <a:graphicData uri="http://schemas.microsoft.com/office/word/2010/wordprocessingShape">
                    <wps:wsp>
                      <wps:cNvSpPr txBox="1"/>
                      <wps:spPr>
                        <a:xfrm>
                          <a:off x="0" y="0"/>
                          <a:ext cx="914400" cy="914400"/>
                        </a:xfrm>
                        <a:prstGeom prst="rect">
                          <a:avLst/>
                        </a:prstGeom>
                        <a:solidFill>
                          <a:schemeClr val="lt1"/>
                        </a:solidFill>
                        <a:ln w="6350">
                          <a:noFill/>
                        </a:ln>
                      </wps:spPr>
                      <wps:txbx>
                        <w:txbxContent>
                          <w:p w14:paraId="69BB68DA" w14:textId="77777777" w:rsidR="00A336C6" w:rsidRPr="008B7F9D" w:rsidRDefault="00A336C6" w:rsidP="00A336C6">
                            <w:pPr>
                              <w:rPr>
                                <w:rFonts w:ascii="Arial" w:hAnsi="Arial" w:cs="Arial"/>
                                <w:sz w:val="20"/>
                                <w:szCs w:val="20"/>
                              </w:rPr>
                            </w:pPr>
                            <w:r w:rsidRPr="008B7F9D">
                              <w:rPr>
                                <w:rFonts w:ascii="Arial" w:hAnsi="Arial" w:cs="Arial"/>
                                <w:sz w:val="20"/>
                                <w:szCs w:val="20"/>
                              </w:rPr>
                              <w:t>Supplemental Figure 11. Significantly enriched pathways between MD1- and MTD1-hiPSC-EPs. Dot plot displaying pathways significantly enriched in MTD1-hiPSC-EPs (negative NES, left) or MD1-hiPSC-EPs (positive NES, right) from fast gene set enrichment analysis (FGSEA). Pathways are manually grouped by biological process and ordered within each group by normalized enrichment score (NES). Dot size represents statistical significance (-log10 adjusted p-value) and dot color indicates NES magnitude, with darker shades reflecting stronger enrichment.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5BF1C1" id="Text Box 18" o:spid="_x0000_s1036" type="#_x0000_t202" style="position:absolute;left:0;text-align:left;margin-left:20.8pt;margin-top:575.4pt;width:1in;height:1in;z-index:25166950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" fillcolor="white [3201]" stroked="f" strokeweight=".5pt">
                <v:textbox>
                  <w:txbxContent>
                    <w:p w14:paraId="69BB68DA" w14:textId="77777777" w:rsidR="00A336C6" w:rsidRPr="008B7F9D" w:rsidRDefault="00A336C6" w:rsidP="00A336C6">
                      <w:pPr>
                        <w:rPr>
                          <w:rFonts w:ascii="Arial" w:hAnsi="Arial" w:cs="Arial"/>
                          <w:sz w:val="20"/>
                          <w:szCs w:val="20"/>
                        </w:rPr>
                      </w:pPr>
                      <w:r w:rsidRPr="008B7F9D">
                        <w:rPr>
                          <w:rFonts w:ascii="Arial" w:hAnsi="Arial" w:cs="Arial"/>
                          <w:sz w:val="20"/>
                          <w:szCs w:val="20"/>
                        </w:rPr>
                        <w:t>Supplemental Figure 11. Significantly enriched pathways between MD1- and MTD1-hiPSC-EPs. Dot plot displaying pathways significantly enriched in MTD1-hiPSC-EPs (negative NES, left) or MD1-hiPSC-EPs (positive NES, right) from fast gene set enrichment analysis (FGSEA). Pathways are manually grouped by biological process and ordered within each group by normalized enrichment score (NES). Dot size represents statistical significance (-log10 adjusted p-value) and dot color indicates NES magnitude, with darker shades reflecting stronger enrichment.</w:t>
                      </w:r>
                    </w:p>
                  </w:txbxContent>
                </v:textbox>
                <w10:wrap anchorx="margin"/>
              </v:shape>
            </w:pict>
          </mc:Fallback>
        </mc:AlternateContent>
      </w:r>
      <w:r>
        <w:rPr>
          <w:noProof/>
        </w:rPr>
        <w:drawing>
          <wp:inline distT="0" distB="0" distL="0" distR="0" wp14:anchorId="1620A7A9" wp14:editId="7DCCB683">
            <wp:extent cx="4770120" cy="7675302"/>
            <wp:effectExtent l="0" t="0" r="0" b="1905"/>
            <wp:docPr id="13474681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468115" name="Picture 11"/>
                    <pic:cNvPicPr/>
                  </pic:nvPicPr>
                  <pic:blipFill rotWithShape="1">
                    <a:blip r:embed="rId14">
                      <a:extLst>
                        <a:ext uri="{28A0092B-C50C-407E-A947-70E740481C1C}">
                          <a14:useLocalDpi xmlns:a14="http://schemas.microsoft.com/office/drawing/2010/main" val="0"/>
                        </a:ext>
                      </a:extLst>
                    </a:blip>
                    <a:srcRect l="16154" r="18590"/>
                    <a:stretch>
                      <a:fillRect/>
                    </a:stretch>
                  </pic:blipFill>
                  <pic:spPr bwMode="auto">
                    <a:xfrm>
                      <a:off x="0" y="0"/>
                      <a:ext cx="4783214" cy="7696371"/>
                    </a:xfrm>
                    <a:prstGeom prst="rect">
                      <a:avLst/>
                    </a:prstGeom>
                    <a:ln>
                      <a:noFill/>
                    </a:ln>
                    <a:extLst>
                      <a:ext uri="{53640926-AAD7-44D8-BBD7-CCE9431645EC}">
                        <a14:shadowObscured xmlns:a14="http://schemas.microsoft.com/office/drawing/2010/main"/>
                      </a:ext>
                    </a:extLst>
                  </pic:spPr>
                </pic:pic>
              </a:graphicData>
            </a:graphic>
          </wp:inline>
        </w:drawing>
      </w:r>
    </w:p>
    <w:p w14:paraId="0399B977" w14:textId="77777777" w:rsidR="00EB4A2D" w:rsidRDefault="00EB4A2D"/>
    <w:sectPr w:rsidR="00EB4A2D" w:rsidSect="00A336C6">
      <w:footerReference w:type="defaul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3469951"/>
      <w:docPartObj>
        <w:docPartGallery w:val="Page Numbers (Bottom of Page)"/>
        <w:docPartUnique/>
      </w:docPartObj>
    </w:sdtPr>
    <w:sdtEndPr>
      <w:rPr>
        <w:noProof/>
      </w:rPr>
    </w:sdtEndPr>
    <w:sdtContent>
      <w:p w14:paraId="3182C1AB" w14:textId="77777777" w:rsidR="00A336C6" w:rsidRPr="00803555" w:rsidRDefault="00A336C6">
        <w:pPr>
          <w:pStyle w:val="Footer"/>
          <w:jc w:val="right"/>
          <w:rPr>
            <w:rFonts w:ascii="Arial" w:hAnsi="Arial" w:cs="Arial"/>
          </w:rPr>
        </w:pPr>
        <w:r w:rsidRPr="00803555">
          <w:rPr>
            <w:rFonts w:ascii="Arial" w:hAnsi="Arial" w:cs="Arial"/>
          </w:rPr>
          <w:fldChar w:fldCharType="begin"/>
        </w:r>
        <w:r w:rsidRPr="00803555">
          <w:rPr>
            <w:rFonts w:ascii="Arial" w:hAnsi="Arial" w:cs="Arial"/>
          </w:rPr>
          <w:instrText xml:space="preserve"> PAGE   \* MERGEFORMAT </w:instrText>
        </w:r>
        <w:r w:rsidRPr="00803555">
          <w:rPr>
            <w:rFonts w:ascii="Arial" w:hAnsi="Arial" w:cs="Arial"/>
          </w:rPr>
          <w:fldChar w:fldCharType="separate"/>
        </w:r>
        <w:r w:rsidRPr="00803555">
          <w:rPr>
            <w:rFonts w:ascii="Arial" w:hAnsi="Arial" w:cs="Arial"/>
            <w:noProof/>
          </w:rPr>
          <w:t>2</w:t>
        </w:r>
        <w:r w:rsidRPr="00803555">
          <w:rPr>
            <w:rFonts w:ascii="Arial" w:hAnsi="Arial" w:cs="Arial"/>
            <w:noProof/>
          </w:rPr>
          <w:fldChar w:fldCharType="end"/>
        </w:r>
      </w:p>
    </w:sdtContent>
  </w:sdt>
  <w:p w14:paraId="004C7D30" w14:textId="77777777" w:rsidR="00A336C6" w:rsidRPr="00803555" w:rsidRDefault="00A336C6">
    <w:pPr>
      <w:pStyle w:val="Footer"/>
      <w:rPr>
        <w:rFonts w:ascii="Arial" w:hAnsi="Arial" w:cs="Arial"/>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6C6"/>
    <w:rsid w:val="00062687"/>
    <w:rsid w:val="001D3053"/>
    <w:rsid w:val="001E3A92"/>
    <w:rsid w:val="00217E67"/>
    <w:rsid w:val="002C7D54"/>
    <w:rsid w:val="0033371E"/>
    <w:rsid w:val="005C0D39"/>
    <w:rsid w:val="0070406C"/>
    <w:rsid w:val="00724754"/>
    <w:rsid w:val="007B36B1"/>
    <w:rsid w:val="00A336C6"/>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E8A1E"/>
  <w15:chartTrackingRefBased/>
  <w15:docId w15:val="{41C6F950-C746-4D44-8835-B2E1D3F8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6C6"/>
    <w:rPr>
      <w:lang w:val="en-US"/>
    </w:rPr>
  </w:style>
  <w:style w:type="paragraph" w:styleId="Heading1">
    <w:name w:val="heading 1"/>
    <w:basedOn w:val="Normal"/>
    <w:next w:val="Normal"/>
    <w:link w:val="Heading1Char"/>
    <w:uiPriority w:val="9"/>
    <w:qFormat/>
    <w:rsid w:val="00A336C6"/>
    <w:pPr>
      <w:keepNext/>
      <w:keepLines/>
      <w:spacing w:before="360" w:after="80"/>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A336C6"/>
    <w:pPr>
      <w:keepNext/>
      <w:keepLines/>
      <w:spacing w:before="160" w:after="80"/>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A336C6"/>
    <w:pPr>
      <w:keepNext/>
      <w:keepLines/>
      <w:spacing w:before="160" w:after="80"/>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A336C6"/>
    <w:pPr>
      <w:keepNext/>
      <w:keepLines/>
      <w:spacing w:before="80" w:after="40"/>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A336C6"/>
    <w:pPr>
      <w:keepNext/>
      <w:keepLines/>
      <w:spacing w:before="80" w:after="40"/>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A336C6"/>
    <w:pPr>
      <w:keepNext/>
      <w:keepLines/>
      <w:spacing w:before="40" w:after="0"/>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A336C6"/>
    <w:pPr>
      <w:keepNext/>
      <w:keepLines/>
      <w:spacing w:before="40" w:after="0"/>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A336C6"/>
    <w:pPr>
      <w:keepNext/>
      <w:keepLines/>
      <w:spacing w:after="0"/>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A336C6"/>
    <w:pPr>
      <w:keepNext/>
      <w:keepLines/>
      <w:spacing w:after="0"/>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6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6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6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6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6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6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6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6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6C6"/>
    <w:rPr>
      <w:rFonts w:eastAsiaTheme="majorEastAsia" w:cstheme="majorBidi"/>
      <w:color w:val="272727" w:themeColor="text1" w:themeTint="D8"/>
    </w:rPr>
  </w:style>
  <w:style w:type="paragraph" w:styleId="Title">
    <w:name w:val="Title"/>
    <w:basedOn w:val="Normal"/>
    <w:next w:val="Normal"/>
    <w:link w:val="TitleChar"/>
    <w:uiPriority w:val="10"/>
    <w:qFormat/>
    <w:rsid w:val="00A336C6"/>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A33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6C6"/>
    <w:pPr>
      <w:numPr>
        <w:ilvl w:val="1"/>
      </w:numPr>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A336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6C6"/>
    <w:pPr>
      <w:spacing w:before="160"/>
      <w:jc w:val="center"/>
    </w:pPr>
    <w:rPr>
      <w:i/>
      <w:iCs/>
      <w:color w:val="404040" w:themeColor="text1" w:themeTint="BF"/>
      <w:lang w:val="en-IN"/>
    </w:rPr>
  </w:style>
  <w:style w:type="character" w:customStyle="1" w:styleId="QuoteChar">
    <w:name w:val="Quote Char"/>
    <w:basedOn w:val="DefaultParagraphFont"/>
    <w:link w:val="Quote"/>
    <w:uiPriority w:val="29"/>
    <w:rsid w:val="00A336C6"/>
    <w:rPr>
      <w:i/>
      <w:iCs/>
      <w:color w:val="404040" w:themeColor="text1" w:themeTint="BF"/>
    </w:rPr>
  </w:style>
  <w:style w:type="paragraph" w:styleId="ListParagraph">
    <w:name w:val="List Paragraph"/>
    <w:basedOn w:val="Normal"/>
    <w:uiPriority w:val="34"/>
    <w:qFormat/>
    <w:rsid w:val="00A336C6"/>
    <w:pPr>
      <w:ind w:left="720"/>
      <w:contextualSpacing/>
    </w:pPr>
    <w:rPr>
      <w:lang w:val="en-IN"/>
    </w:rPr>
  </w:style>
  <w:style w:type="character" w:styleId="IntenseEmphasis">
    <w:name w:val="Intense Emphasis"/>
    <w:basedOn w:val="DefaultParagraphFont"/>
    <w:uiPriority w:val="21"/>
    <w:qFormat/>
    <w:rsid w:val="00A336C6"/>
    <w:rPr>
      <w:i/>
      <w:iCs/>
      <w:color w:val="0F4761" w:themeColor="accent1" w:themeShade="BF"/>
    </w:rPr>
  </w:style>
  <w:style w:type="paragraph" w:styleId="IntenseQuote">
    <w:name w:val="Intense Quote"/>
    <w:basedOn w:val="Normal"/>
    <w:next w:val="Normal"/>
    <w:link w:val="IntenseQuoteChar"/>
    <w:uiPriority w:val="30"/>
    <w:qFormat/>
    <w:rsid w:val="00A33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A336C6"/>
    <w:rPr>
      <w:i/>
      <w:iCs/>
      <w:color w:val="0F4761" w:themeColor="accent1" w:themeShade="BF"/>
    </w:rPr>
  </w:style>
  <w:style w:type="character" w:styleId="IntenseReference">
    <w:name w:val="Intense Reference"/>
    <w:basedOn w:val="DefaultParagraphFont"/>
    <w:uiPriority w:val="32"/>
    <w:qFormat/>
    <w:rsid w:val="00A336C6"/>
    <w:rPr>
      <w:b/>
      <w:bCs/>
      <w:smallCaps/>
      <w:color w:val="0F4761" w:themeColor="accent1" w:themeShade="BF"/>
      <w:spacing w:val="5"/>
    </w:rPr>
  </w:style>
  <w:style w:type="paragraph" w:styleId="Footer">
    <w:name w:val="footer"/>
    <w:basedOn w:val="Normal"/>
    <w:link w:val="FooterChar"/>
    <w:uiPriority w:val="99"/>
    <w:unhideWhenUsed/>
    <w:rsid w:val="00A33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6C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13" Type="http://schemas.openxmlformats.org/officeDocument/2006/relationships/image" Target="media/image10.TIF"/><Relationship Id="rId3" Type="http://schemas.openxmlformats.org/officeDocument/2006/relationships/webSettings" Target="webSettings.xml"/><Relationship Id="rId7" Type="http://schemas.openxmlformats.org/officeDocument/2006/relationships/image" Target="media/image4.TIF"/><Relationship Id="rId12" Type="http://schemas.openxmlformats.org/officeDocument/2006/relationships/image" Target="media/image9.TI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TIF"/><Relationship Id="rId11" Type="http://schemas.openxmlformats.org/officeDocument/2006/relationships/image" Target="media/image8.TIF"/><Relationship Id="rId5" Type="http://schemas.openxmlformats.org/officeDocument/2006/relationships/image" Target="media/image2.TIF"/><Relationship Id="rId15" Type="http://schemas.openxmlformats.org/officeDocument/2006/relationships/footer" Target="footer1.xml"/><Relationship Id="rId10" Type="http://schemas.openxmlformats.org/officeDocument/2006/relationships/image" Target="media/image7.TIF"/><Relationship Id="rId4" Type="http://schemas.openxmlformats.org/officeDocument/2006/relationships/image" Target="media/image1.TIF"/><Relationship Id="rId9" Type="http://schemas.openxmlformats.org/officeDocument/2006/relationships/image" Target="media/image6.TIF"/><Relationship Id="rId14" Type="http://schemas.openxmlformats.org/officeDocument/2006/relationships/image" Target="media/image1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2026-09-22T09:30:00Z</dcterms:created>
  <dcterms:modified xsi:type="dcterms:W3CDTF">2026-09-22T09:30:00Z</dcterms:modified>
</cp:coreProperties>
</file>