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160"/>
        <w:jc w:val="left"/>
      </w:pPr>
      <w:r>
        <w:rPr>
          <w:rFonts w:ascii="Arial" w:hAnsi="Arial"/>
          <w:b/>
          <w:color w:val="1F4E79"/>
          <w:sz w:val="40"/>
        </w:rPr>
        <w:t>Additional File 1: Supplementary Material</w:t>
      </w:r>
    </w:p>
    <w:p>
      <w:pPr>
        <w:spacing w:after="200"/>
        <w:jc w:val="left"/>
      </w:pPr>
      <w:r>
        <w:rPr>
          <w:rFonts w:ascii="Arial" w:hAnsi="Arial"/>
          <w:i/>
          <w:color w:val="555555"/>
          <w:sz w:val="21"/>
        </w:rPr>
        <w:t>Association of Preprocedural Indocyanine Green Retention With 90-Day Outcomes After TIPS: A Single-Center Retrospective Cohort Study</w:t>
      </w:r>
    </w:p>
    <w:p>
      <w:r>
        <w:rPr>
          <w:rFonts w:ascii="Arial" w:hAnsi="Arial"/>
          <w:i w:val="0"/>
          <w:color w:val="000000"/>
          <w:sz w:val="21"/>
        </w:rPr>
        <w:t>This file contains supplementary methods and Tables S1–S7. The frozen deduplicated analysis dataset contained 193 unique patients. All tables and models were regenerated after strict HE/readmission adjudication.</w:t>
      </w:r>
    </w:p>
    <w:p>
      <w:pPr>
        <w:pStyle w:val="Heading1"/>
      </w:pPr>
      <w:r>
        <w:t>Supplementary methods</w:t>
      </w:r>
    </w:p>
    <w:p>
      <w:r>
        <w:rPr>
          <w:rFonts w:ascii="Arial" w:hAnsi="Arial"/>
          <w:i w:val="0"/>
          <w:color w:val="000000"/>
          <w:sz w:val="21"/>
        </w:rPr>
        <w:t>Deduplication audit: Patient identifier 454028 appeared twice among 194 candidate records. Study ID 24 was removed and Study ID 31 was retained after source verification. All downstream analyses used one row per patient.</w:t>
      </w:r>
    </w:p>
    <w:p>
      <w:r>
        <w:rPr>
          <w:rFonts w:ascii="Arial" w:hAnsi="Arial"/>
          <w:i w:val="0"/>
          <w:color w:val="000000"/>
          <w:sz w:val="21"/>
        </w:rPr>
        <w:t>Endpoint audit: The primary composite required evidence-confirmed overt HE (West Haven grade II–IV) and evidence-confirmed liver-related readmission. Eleven readmission-positive labels without adequate timing or cause documentation were retained only in sensitivity analysis. Components were counted once per patient for the composite.</w:t>
      </w:r>
    </w:p>
    <w:p>
      <w:r>
        <w:rPr>
          <w:rFonts w:ascii="Arial" w:hAnsi="Arial"/>
          <w:i w:val="0"/>
          <w:color w:val="000000"/>
          <w:sz w:val="21"/>
        </w:rPr>
        <w:t>Bootstrap validation: Each of 1000 resamples repeated model fitting in a sample of size 193 drawn with replacement. Apparent performance in the bootstrap sample and test performance in the original sample were used to estimate optimism, which was subtracted from original apparent performance.</w:t>
      </w:r>
    </w:p>
    <w:p>
      <w:r>
        <w:rPr>
          <w:rFonts w:ascii="Arial" w:hAnsi="Arial"/>
          <w:i w:val="0"/>
          <w:color w:val="000000"/>
          <w:sz w:val="21"/>
        </w:rPr>
        <w:t>ICG-PDR quality review: In the deduplicated dataset, ICG plasma disappearance rate had a median of 8.7%/min (interquartile range 4.9–17.8), range 0.2–82.7%/min, and 24 values above 50%/min. Cross-checking retention and disappearance variables flagged 73 records for exclusion/verification and 12 for review; ICG-PDR was therefore excluded from inferential analysis.</w:t>
      </w:r>
    </w:p>
    <w:p>
      <w:pPr>
        <w:pStyle w:val="Caption"/>
        <w:keepNext/>
        <w:spacing w:before="120" w:after="60" w:line="240" w:lineRule="auto"/>
      </w:pPr>
      <w:r>
        <w:rPr>
          <w:rFonts w:ascii="Arial" w:hAnsi="Arial"/>
          <w:b/>
          <w:color w:val="000000"/>
          <w:sz w:val="20"/>
        </w:rPr>
        <w:t>Table S1. Participant flow and patient accounting after eligibility assessment and removal of one duplicate record</w:t>
      </w:r>
    </w:p>
    <w:tbl>
      <w:tblPr>
        <w:tblStyle w:val="TableGrid"/>
        <w:tblW w:type="dxa" w:w="13680"/>
        <w:jc w:val="left"/>
        <w:tblLayout w:type="fixed"/>
        <w:tblLook w:firstColumn="1" w:firstRow="1" w:lastColumn="0" w:lastRow="0" w:noHBand="0" w:noVBand="1" w:val="04A0"/>
      </w:tblPr>
      <w:tblGrid>
        <w:gridCol w:w="4320"/>
        <w:gridCol w:w="1008"/>
        <w:gridCol w:w="8352"/>
      </w:tblGrid>
      <w:tr>
        <w:trPr>
          <w:tblHeader w:val="true"/>
          <w:cantSplit w:val="true"/>
        </w:trPr>
        <w:tc>
          <w:tcPr>
            <w:tcW w:type="dxa" w:w="4320"/>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Stage</w:t>
            </w:r>
          </w:p>
        </w:tc>
        <w:tc>
          <w:tcPr>
            <w:tcW w:type="dxa" w:w="1008"/>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n</w:t>
            </w:r>
          </w:p>
        </w:tc>
        <w:tc>
          <w:tcPr>
            <w:tcW w:type="dxa" w:w="8352"/>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Accounting note</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Records screened</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286</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Consecutive screening frame</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Mutually exclusive eligibility exclusions</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92</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No/invalid ICG, missing essential baseline information, indeterminate outcome/follow-up, or other prespecified eligibility reason</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Candidate records</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194</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286 - 92</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Confirmed duplicate removed</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1</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Patient identifier 454028: retain Study ID 31, remove Study ID 24</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Final unique-patient cohort</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193</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194 - 1</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Strict 90-day composite</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27</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14.0% of final cohort</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No strict 90-day composite</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7"/>
              </w:rPr>
              <w:t>166</w:t>
            </w:r>
          </w:p>
        </w:tc>
        <w:tc>
          <w:tcPr>
            <w:tcW w:type="dxa" w:w="8352"/>
            <w:vAlign w:val="center"/>
            <w:tcMar>
              <w:top w:w="65" w:type="dxa"/>
              <w:start w:w="90" w:type="dxa"/>
              <w:bottom w:w="65" w:type="dxa"/>
              <w:end w:w="90" w:type="dxa"/>
            </w:tcMar>
          </w:tcPr>
          <w:p>
            <w:pPr>
              <w:spacing w:after="0" w:line="240" w:lineRule="auto"/>
              <w:jc w:val="center"/>
            </w:pPr>
            <w:r>
              <w:rPr>
                <w:rFonts w:ascii="Arial" w:hAnsi="Arial"/>
                <w:color w:val="000000"/>
                <w:sz w:val="17"/>
              </w:rPr>
              <w:t>86.0% of final cohort</w:t>
            </w:r>
          </w:p>
        </w:tc>
      </w:tr>
    </w:tbl>
    <w:p>
      <w:pPr>
        <w:pStyle w:val="Caption"/>
        <w:keepNext/>
        <w:spacing w:before="120" w:after="60" w:line="240" w:lineRule="auto"/>
      </w:pPr>
      <w:r>
        <w:rPr>
          <w:rFonts w:ascii="Arial" w:hAnsi="Arial"/>
          <w:b/>
          <w:color w:val="000000"/>
          <w:sz w:val="20"/>
        </w:rPr>
        <w:t>Table S2. Comprehensive baseline characteristics by strict 90-day outcome</w:t>
      </w:r>
    </w:p>
    <w:tbl>
      <w:tblPr>
        <w:tblStyle w:val="TableGrid"/>
        <w:tblW w:type="dxa" w:w="12312"/>
        <w:jc w:val="left"/>
        <w:tblLayout w:type="fixed"/>
        <w:tblLook w:firstColumn="1" w:firstRow="1" w:lastColumn="0" w:lastRow="0" w:noHBand="0" w:noVBand="1" w:val="04A0"/>
      </w:tblPr>
      <w:tblGrid>
        <w:gridCol w:w="3816"/>
        <w:gridCol w:w="2088"/>
        <w:gridCol w:w="2088"/>
        <w:gridCol w:w="2088"/>
        <w:gridCol w:w="1152"/>
        <w:gridCol w:w="1080"/>
      </w:tblGrid>
      <w:tr>
        <w:trPr>
          <w:tblHeader w:val="true"/>
          <w:cantSplit w:val="true"/>
        </w:trPr>
        <w:tc>
          <w:tcPr>
            <w:tcW w:type="dxa" w:w="3816"/>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Variable</w:t>
            </w:r>
          </w:p>
        </w:tc>
        <w:tc>
          <w:tcPr>
            <w:tcW w:type="dxa" w:w="2088"/>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Overall (n=193)</w:t>
            </w:r>
          </w:p>
        </w:tc>
        <w:tc>
          <w:tcPr>
            <w:tcW w:type="dxa" w:w="2088"/>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No event (n=166)</w:t>
            </w:r>
          </w:p>
        </w:tc>
        <w:tc>
          <w:tcPr>
            <w:tcW w:type="dxa" w:w="2088"/>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Event (n=27)</w:t>
            </w:r>
          </w:p>
        </w:tc>
        <w:tc>
          <w:tcPr>
            <w:tcW w:type="dxa" w:w="1152"/>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P value</w:t>
            </w:r>
          </w:p>
        </w:tc>
        <w:tc>
          <w:tcPr>
            <w:tcW w:type="dxa" w:w="1080"/>
            <w:vAlign w:val="center"/>
            <w:tcMar>
              <w:top w:w="65" w:type="dxa"/>
              <w:start w:w="90" w:type="dxa"/>
              <w:bottom w:w="65" w:type="dxa"/>
              <w:end w:w="90" w:type="dxa"/>
            </w:tcMar>
            <w:shd w:fill="FFFFFF"/>
          </w:tcPr>
          <w:p>
            <w:pPr>
              <w:spacing w:after="0" w:line="240" w:lineRule="auto"/>
              <w:jc w:val="center"/>
            </w:pPr>
            <w:r>
              <w:rPr>
                <w:rFonts w:ascii="Arial" w:hAnsi="Arial"/>
                <w:b/>
                <w:color w:val="000000"/>
                <w:sz w:val="15"/>
              </w:rPr>
              <w:t>Missing n</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Age, years</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51.8 ± 13.0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51.3 ± 13.0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54.6 ± 12.8</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0.219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Male sex</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134 (69.4)</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114 (68.7)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20 (74.1)</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0.572</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Etiology: HBV</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90 (46.6)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76 (45.8)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 (51.9)</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0.817</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Other</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38 (19.7)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33 (19.9)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 (18.5)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Alcohol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21 (10.9)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18 (10.8)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 (11.1)</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Vascular liver disease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19 (9.8)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17 (10.2)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(7.4)</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HCV</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 (6.7)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12 (7.2)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(3.7)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Cholestatic</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 (3.1)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 (2.4)</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(7.4)</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Autoimmune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 (2.6)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 (3.0)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0 (0.0)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MASLD/NASH</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(0.5)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(0.6)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0 (0.0)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TIPS indication: Secondary prophylaxis</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131 (67.9)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116 (69.9)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15 (55.6)</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0.256</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Refractory ascites</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55 (28.5)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44 (26.5)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 (40.7)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Portal vein thrombosis</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 (1.6)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 (1.8)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0 (0.0)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Hepatic hydrothorax</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(1.0)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(0.6)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(3.7)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Acute variceal bleeding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(1.0)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(1.2)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0 (0.0)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Prior variceal bleeding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140 (72.5)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123 (74.1)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17 (63.0)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0.229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Refractory ascites</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55 (28.5)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44 (26.5)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 (40.7)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0.129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Prior HE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(1.0)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(0.6)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 (3.7)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0.261</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PVT</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100 (51.8)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85 (51.2)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15 (55.6)</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0.675</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HCC</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28 (14.5)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23 (13.9)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 (18.5)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0.523</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Baseline ascites grade: Moderate-Severe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78 (59.5)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64 (60.4)</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 (56.0)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0.861</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62</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Mild</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53 (40.5)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42 (39.6)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 (44.0)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 xml:space="preserve">  Missing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62 (32.1)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60 (36.1)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 (7.4)</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ALT, U/L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21.0 [14.0-31.0]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21.0 [14.0-31.8]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18.0 [11.0-26.0]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0.183</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AST, U/L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27.0 [20.0-42.2]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28.0 [20.0-43.0]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23.0 [19.0-37.5]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0.149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1</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Total bilirubin, umol/L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23.9 [16.8-35.8]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23.9 [16.9-35.6]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24.5 [16.5-45.9]</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0.809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Direct bilirubin, umol/L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10.0 [6.5-17.1]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9.9 [6.5-16.5]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10.0 [7.0-24.2]</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0.462</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Albumin, g/L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34.6 ± 5.5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34.6 ± 5.6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34.5 ± 4.7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0.964</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INR</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 [1.2-1.5]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 [1.2-1.5]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 [1.2-1.5]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0.612</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Creatinine, umol/L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60.0 [52.0-73.0]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59.5 [51.0-72.0]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66.0 [58.5-97.5]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0.032</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Sodium, mmol/L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138.5 ± 4.9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138.5 ± 4.9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138.4 ± 5.0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0.990</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Ammonia, umol/L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45.8 [36.1-58.9]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45.3 [35.8-58.8]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48.0 [37.9-62.7]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0.488</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Platelet, 10^9/L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77.0 [52.0-117.0]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79.0 [55.0-117.4]</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74.0 [50.5-104.5]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0.430</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Hemoglobin, g/L</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95.4 ± 27.5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95.0 ± 26.8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98.0 ± 32.0</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0.648</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ICG-R15, %</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34.7 ± 12.7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34.2 ± 12.8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38.0 ± 11.7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0.132</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Child-Pugh score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7.2 ± 1.6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7.2 ± 1.6</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7.8 ± 1.5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0.060</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MELD score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12.2 ± 4.2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12.0 ± 4.1</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13.6 ± 4.5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0.093</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MELD-Na score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13.3 ± 4.9</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13.1 ± 4.8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14.8 ± 5.1</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0.104</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ALBI score</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-2.0 ± 0.5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-2.0 ± 0.5</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-2.0 ± 0.5</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0.886</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Pre-TIPS PPG, mmHg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27.4 ± 7.2</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27.6 ± 7.3</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25.9 ± 6.7</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0.227</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Post-TIPS PPG, mmHg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13.7 ± 5.7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14.0 ± 5.8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11.7 ± 4.9</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0.037</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PPG reduction, mmHg</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13.7 ± 6.0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13.6 ± 6.0</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14.1 ± 5.8</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0.669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PPG reduction, %</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49.5 ± 20.7</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48.8 ± 21.3</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54.0 ± 16.2</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0.153</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r>
        <w:trPr>
          <w:cantSplit w:val="true"/>
        </w:trPr>
        <w:tc>
          <w:tcPr>
            <w:tcW w:type="dxa" w:w="3816"/>
            <w:vAlign w:val="center"/>
            <w:tcMar>
              <w:top w:w="65" w:type="dxa"/>
              <w:start w:w="90" w:type="dxa"/>
              <w:bottom w:w="65" w:type="dxa"/>
              <w:end w:w="90" w:type="dxa"/>
            </w:tcMar>
          </w:tcPr>
          <w:p>
            <w:pPr>
              <w:spacing w:after="0" w:line="240" w:lineRule="auto"/>
              <w:jc w:val="left"/>
            </w:pPr>
            <w:r>
              <w:rPr>
                <w:rFonts w:ascii="Arial" w:hAnsi="Arial"/>
                <w:color w:val="000000"/>
                <w:sz w:val="15"/>
              </w:rPr>
              <w:t>Stent diameter, mm</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8.0 ± 0.8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8.1 ± 0.8</w:t>
            </w:r>
          </w:p>
        </w:tc>
        <w:tc>
          <w:tcPr>
            <w:tcW w:type="dxa" w:w="2088"/>
            <w:vAlign w:val="center"/>
            <w:tcMar>
              <w:top w:w="65" w:type="dxa"/>
              <w:start w:w="90" w:type="dxa"/>
              <w:bottom w:w="65" w:type="dxa"/>
              <w:end w:w="90" w:type="dxa"/>
            </w:tcMar>
          </w:tcPr>
          <w:p>
            <w:pPr>
              <w:spacing w:after="0" w:line="240" w:lineRule="auto"/>
              <w:jc w:val="center"/>
            </w:pPr>
            <w:r>
              <w:rPr>
                <w:rFonts w:ascii="Arial" w:hAnsi="Arial"/>
                <w:color w:val="000000"/>
                <w:sz w:val="15"/>
              </w:rPr>
              <w:t>7.8 ± 0.8</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5"/>
              </w:rPr>
              <w:t>0.098</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5"/>
              </w:rPr>
              <w:t>0</w:t>
            </w:r>
          </w:p>
        </w:tc>
      </w:tr>
    </w:tbl>
    <w:p>
      <w:r>
        <w:rPr>
          <w:rFonts w:ascii="Arial" w:hAnsi="Arial"/>
          <w:i/>
          <w:color w:val="000000"/>
          <w:sz w:val="21"/>
        </w:rPr>
        <w:t>Values are mean ± standard deviation, median [interquartile range], or n (%). P values compare event groups and are descriptive. Categorical percentages exclude missing values unless a missing category is explicitly shown.</w:t>
      </w:r>
    </w:p>
    <w:p>
      <w:pPr>
        <w:pStyle w:val="Caption"/>
        <w:keepNext/>
        <w:spacing w:before="120" w:after="60" w:line="240" w:lineRule="auto"/>
      </w:pPr>
      <w:r>
        <w:rPr>
          <w:rFonts w:ascii="Arial" w:hAnsi="Arial"/>
          <w:b/>
          <w:color w:val="000000"/>
          <w:sz w:val="20"/>
        </w:rPr>
        <w:t>Table S3. Component-specific and severe-outcome analyses</w:t>
      </w:r>
    </w:p>
    <w:tbl>
      <w:tblPr>
        <w:tblStyle w:val="TableGrid"/>
        <w:tblW w:type="dxa" w:w="12672"/>
        <w:jc w:val="left"/>
        <w:tblLayout w:type="fixed"/>
        <w:tblLook w:firstColumn="1" w:firstRow="1" w:lastColumn="0" w:lastRow="0" w:noHBand="0" w:noVBand="1" w:val="04A0"/>
      </w:tblPr>
      <w:tblGrid>
        <w:gridCol w:w="4464"/>
        <w:gridCol w:w="1008"/>
        <w:gridCol w:w="2952"/>
        <w:gridCol w:w="1080"/>
        <w:gridCol w:w="3168"/>
      </w:tblGrid>
      <w:tr>
        <w:trPr>
          <w:tblHeader w:val="true"/>
          <w:cantSplit w:val="true"/>
        </w:trPr>
        <w:tc>
          <w:tcPr>
            <w:tcW w:type="dxa" w:w="4464"/>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Outcome</w:t>
            </w:r>
          </w:p>
        </w:tc>
        <w:tc>
          <w:tcPr>
            <w:tcW w:type="dxa" w:w="1008"/>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Events</w:t>
            </w:r>
          </w:p>
        </w:tc>
        <w:tc>
          <w:tcPr>
            <w:tcW w:type="dxa" w:w="2952"/>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ICG-R15 OR per 10% (95% CI)</w:t>
            </w:r>
          </w:p>
        </w:tc>
        <w:tc>
          <w:tcPr>
            <w:tcW w:type="dxa" w:w="1080"/>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P value</w:t>
            </w:r>
          </w:p>
        </w:tc>
        <w:tc>
          <w:tcPr>
            <w:tcW w:type="dxa" w:w="3168"/>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Interpretation</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Confirmed overt HE</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17</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0.98 (0.66–1.45)</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0.928</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Unadjusted</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Confirmed liver-related readmission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1</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1.16 (0.23–5.87)</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0.858</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Very imprecise</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Biochemical liver dysfunction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4</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1.94 (0.71–5.29)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0.193</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Very imprecise</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Death</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4</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2.24 (0.77–6.49)</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0.138</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Very imprecise</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Liver transplantation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3</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2.07 (0.63–6.74)</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0.230</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Very imprecise</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Death or transplantation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7</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2.20 (0.98–4.93)</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0.055</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Exploratory</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Death/transplant/liver dysfunction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10</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2.20 (1.11–4.35)</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0.023</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Exploratory</w:t>
            </w:r>
          </w:p>
        </w:tc>
      </w:tr>
      <w:tr>
        <w:trPr>
          <w:cantSplit w:val="true"/>
        </w:trPr>
        <w:tc>
          <w:tcPr>
            <w:tcW w:type="dxa" w:w="4464"/>
            <w:vAlign w:val="center"/>
            <w:tcMar>
              <w:top w:w="65" w:type="dxa"/>
              <w:start w:w="90" w:type="dxa"/>
              <w:bottom w:w="65" w:type="dxa"/>
              <w:end w:w="90" w:type="dxa"/>
            </w:tcMar>
          </w:tcPr>
          <w:p>
            <w:pPr>
              <w:spacing w:after="0" w:line="240" w:lineRule="auto"/>
              <w:jc w:val="left"/>
            </w:pPr>
            <w:r>
              <w:rPr>
                <w:rFonts w:ascii="Arial" w:hAnsi="Arial"/>
                <w:color w:val="000000"/>
                <w:sz w:val="16"/>
              </w:rPr>
              <w:t>Strict composite excluding readmission</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27</w:t>
            </w:r>
          </w:p>
        </w:tc>
        <w:tc>
          <w:tcPr>
            <w:tcW w:type="dxa" w:w="2952"/>
            <w:vAlign w:val="center"/>
            <w:tcMar>
              <w:top w:w="65" w:type="dxa"/>
              <w:start w:w="90" w:type="dxa"/>
              <w:bottom w:w="65" w:type="dxa"/>
              <w:end w:w="90" w:type="dxa"/>
            </w:tcMar>
          </w:tcPr>
          <w:p>
            <w:pPr>
              <w:spacing w:after="0" w:line="240" w:lineRule="auto"/>
              <w:jc w:val="center"/>
            </w:pPr>
            <w:r>
              <w:rPr>
                <w:rFonts w:ascii="Arial" w:hAnsi="Arial"/>
                <w:color w:val="000000"/>
                <w:sz w:val="16"/>
              </w:rPr>
              <w:t>1.29 (0.91–1.81)</w:t>
            </w:r>
          </w:p>
        </w:tc>
        <w:tc>
          <w:tcPr>
            <w:tcW w:type="dxa" w:w="1080"/>
            <w:vAlign w:val="center"/>
            <w:tcMar>
              <w:top w:w="65" w:type="dxa"/>
              <w:start w:w="90" w:type="dxa"/>
              <w:bottom w:w="65" w:type="dxa"/>
              <w:end w:w="90" w:type="dxa"/>
            </w:tcMar>
          </w:tcPr>
          <w:p>
            <w:pPr>
              <w:spacing w:after="0" w:line="240" w:lineRule="auto"/>
              <w:jc w:val="center"/>
            </w:pPr>
            <w:r>
              <w:rPr>
                <w:rFonts w:ascii="Arial" w:hAnsi="Arial"/>
                <w:color w:val="000000"/>
                <w:sz w:val="16"/>
              </w:rPr>
              <w:t>0.153</w:t>
            </w:r>
          </w:p>
        </w:tc>
        <w:tc>
          <w:tcPr>
            <w:tcW w:type="dxa" w:w="3168"/>
            <w:vAlign w:val="center"/>
            <w:tcMar>
              <w:top w:w="65" w:type="dxa"/>
              <w:start w:w="90" w:type="dxa"/>
              <w:bottom w:w="65" w:type="dxa"/>
              <w:end w:w="90" w:type="dxa"/>
            </w:tcMar>
          </w:tcPr>
          <w:p>
            <w:pPr>
              <w:spacing w:after="0" w:line="240" w:lineRule="auto"/>
              <w:jc w:val="center"/>
            </w:pPr>
            <w:r>
              <w:rPr>
                <w:rFonts w:ascii="Arial" w:hAnsi="Arial"/>
                <w:color w:val="000000"/>
                <w:sz w:val="16"/>
              </w:rPr>
              <w:t>Readmission overlapped with HE</w:t>
            </w:r>
          </w:p>
        </w:tc>
      </w:tr>
    </w:tbl>
    <w:p>
      <w:r>
        <w:rPr>
          <w:rFonts w:ascii="Arial" w:hAnsi="Arial"/>
          <w:i/>
          <w:color w:val="000000"/>
          <w:sz w:val="21"/>
        </w:rPr>
        <w:t>All component models were unadjusted because event counts were sparse. HE, hepatic encephalopathy; ICG-R15, indocyanine green retention at 15 minutes; OR, odds ratio.</w:t>
      </w:r>
    </w:p>
    <w:p>
      <w:pPr>
        <w:pStyle w:val="Caption"/>
        <w:keepNext/>
        <w:spacing w:before="120" w:after="60" w:line="240" w:lineRule="auto"/>
      </w:pPr>
      <w:r>
        <w:rPr>
          <w:rFonts w:ascii="Arial" w:hAnsi="Arial"/>
          <w:b/>
          <w:color w:val="000000"/>
          <w:sz w:val="20"/>
        </w:rPr>
        <w:t>Table S4. Incremental performance of ICG-R15</w:t>
      </w:r>
    </w:p>
    <w:tbl>
      <w:tblPr>
        <w:tblStyle w:val="TableGrid"/>
        <w:tblW w:type="dxa" w:w="13824"/>
        <w:jc w:val="left"/>
        <w:tblLayout w:type="fixed"/>
        <w:tblLook w:firstColumn="1" w:firstRow="1" w:lastColumn="0" w:lastRow="0" w:noHBand="0" w:noVBand="1" w:val="04A0"/>
      </w:tblPr>
      <w:tblGrid>
        <w:gridCol w:w="4392"/>
        <w:gridCol w:w="2376"/>
        <w:gridCol w:w="2592"/>
        <w:gridCol w:w="4464"/>
      </w:tblGrid>
      <w:tr>
        <w:trPr>
          <w:tblHeader w:val="true"/>
          <w:cantSplit w:val="true"/>
        </w:trPr>
        <w:tc>
          <w:tcPr>
            <w:tcW w:type="dxa" w:w="4392"/>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Metric</w:t>
            </w:r>
          </w:p>
        </w:tc>
        <w:tc>
          <w:tcPr>
            <w:tcW w:type="dxa" w:w="2376"/>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Clinical model</w:t>
            </w:r>
          </w:p>
        </w:tc>
        <w:tc>
          <w:tcPr>
            <w:tcW w:type="dxa" w:w="2592"/>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Clinical + ICG-R15</w:t>
            </w:r>
          </w:p>
        </w:tc>
        <w:tc>
          <w:tcPr>
            <w:tcW w:type="dxa" w:w="4464"/>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Increment or note</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Apparent AUC</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0.650</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0.647</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Difference -0.002; bootstrap interval -0.018 to 0.050</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Optimism-corrected AUC</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0.606</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0.592</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Difference -0.015</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Apparent Brier score</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0.116</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0.115</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Lower is better</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Optimism-corrected Brier score</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0.122</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0.123</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Lower is better</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Corrected calibration intercept</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-0.415</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-0.546</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Ideal 0</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Corrected calibration slope</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0.758</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0.683</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Ideal 1</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Corrected IDI</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-0.001</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Exploratory</w:t>
            </w:r>
          </w:p>
        </w:tc>
      </w:tr>
      <w:tr>
        <w:trPr>
          <w:cantSplit w:val="true"/>
        </w:trPr>
        <w:tc>
          <w:tcPr>
            <w:tcW w:type="dxa" w:w="4392"/>
            <w:vAlign w:val="center"/>
            <w:tcMar>
              <w:top w:w="65" w:type="dxa"/>
              <w:start w:w="90" w:type="dxa"/>
              <w:bottom w:w="65" w:type="dxa"/>
              <w:end w:w="90" w:type="dxa"/>
            </w:tcMar>
          </w:tcPr>
          <w:p>
            <w:pPr>
              <w:spacing w:after="0" w:line="240" w:lineRule="auto"/>
              <w:jc w:val="left"/>
            </w:pPr>
            <w:r>
              <w:rPr>
                <w:rFonts w:ascii="Arial" w:hAnsi="Arial"/>
                <w:color w:val="000000"/>
                <w:sz w:val="16"/>
              </w:rPr>
              <w:t>Corrected continuous NRI</w:t>
            </w:r>
          </w:p>
        </w:tc>
        <w:tc>
          <w:tcPr>
            <w:tcW w:type="dxa" w:w="2376"/>
            <w:vAlign w:val="center"/>
            <w:tcMar>
              <w:top w:w="65" w:type="dxa"/>
              <w:start w:w="90" w:type="dxa"/>
              <w:bottom w:w="65" w:type="dxa"/>
              <w:end w:w="90" w:type="dxa"/>
            </w:tcMar>
          </w:tcPr>
          <w:p>
            <w:pPr>
              <w:spacing w:after="0" w:line="240" w:lineRule="auto"/>
              <w:jc w:val="center"/>
            </w:pPr>
            <w:r>
              <w:rPr>
                <w:rFonts w:ascii="Arial" w:hAnsi="Arial"/>
                <w:color w:val="000000"/>
                <w:sz w:val="16"/>
              </w:rPr>
              <w:t>—</w:t>
            </w:r>
          </w:p>
        </w:tc>
        <w:tc>
          <w:tcPr>
            <w:tcW w:type="dxa" w:w="2592"/>
            <w:vAlign w:val="center"/>
            <w:tcMar>
              <w:top w:w="65" w:type="dxa"/>
              <w:start w:w="90" w:type="dxa"/>
              <w:bottom w:w="65" w:type="dxa"/>
              <w:end w:w="90" w:type="dxa"/>
            </w:tcMar>
          </w:tcPr>
          <w:p>
            <w:pPr>
              <w:spacing w:after="0" w:line="240" w:lineRule="auto"/>
              <w:jc w:val="center"/>
            </w:pPr>
            <w:r>
              <w:rPr>
                <w:rFonts w:ascii="Arial" w:hAnsi="Arial"/>
                <w:color w:val="000000"/>
                <w:sz w:val="16"/>
              </w:rPr>
              <w:t>0.064</w:t>
            </w:r>
          </w:p>
        </w:tc>
        <w:tc>
          <w:tcPr>
            <w:tcW w:type="dxa" w:w="4464"/>
            <w:vAlign w:val="center"/>
            <w:tcMar>
              <w:top w:w="65" w:type="dxa"/>
              <w:start w:w="90" w:type="dxa"/>
              <w:bottom w:w="65" w:type="dxa"/>
              <w:end w:w="90" w:type="dxa"/>
            </w:tcMar>
          </w:tcPr>
          <w:p>
            <w:pPr>
              <w:spacing w:after="0" w:line="240" w:lineRule="auto"/>
              <w:jc w:val="center"/>
            </w:pPr>
            <w:r>
              <w:rPr>
                <w:rFonts w:ascii="Arial" w:hAnsi="Arial"/>
                <w:color w:val="000000"/>
                <w:sz w:val="16"/>
              </w:rPr>
              <w:t>Exploratory</w:t>
            </w:r>
          </w:p>
        </w:tc>
      </w:tr>
    </w:tbl>
    <w:p>
      <w:pPr>
        <w:pStyle w:val="Caption"/>
        <w:keepNext/>
        <w:spacing w:before="120" w:after="60" w:line="240" w:lineRule="auto"/>
      </w:pPr>
      <w:r>
        <w:rPr>
          <w:rFonts w:ascii="Arial" w:hAnsi="Arial"/>
          <w:b/>
          <w:color w:val="000000"/>
          <w:sz w:val="20"/>
        </w:rPr>
        <w:t>Table S5. Population-restriction sensitivity analyses</w:t>
      </w:r>
    </w:p>
    <w:tbl>
      <w:tblPr>
        <w:tblStyle w:val="TableGrid"/>
        <w:tblW w:type="dxa" w:w="12888"/>
        <w:jc w:val="left"/>
        <w:tblLayout w:type="fixed"/>
        <w:tblLook w:firstColumn="1" w:firstRow="1" w:lastColumn="0" w:lastRow="0" w:noHBand="0" w:noVBand="1" w:val="04A0"/>
      </w:tblPr>
      <w:tblGrid>
        <w:gridCol w:w="4320"/>
        <w:gridCol w:w="1944"/>
        <w:gridCol w:w="5184"/>
        <w:gridCol w:w="1440"/>
      </w:tblGrid>
      <w:tr>
        <w:trPr>
          <w:tblHeader w:val="true"/>
          <w:cantSplit w:val="true"/>
        </w:trPr>
        <w:tc>
          <w:tcPr>
            <w:tcW w:type="dxa" w:w="4320"/>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Analysis</w:t>
            </w:r>
          </w:p>
        </w:tc>
        <w:tc>
          <w:tcPr>
            <w:tcW w:type="dxa" w:w="1944"/>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n / events</w:t>
            </w:r>
          </w:p>
        </w:tc>
        <w:tc>
          <w:tcPr>
            <w:tcW w:type="dxa" w:w="5184"/>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Adjusted ICG-R15 OR per 10% (95% CI)</w:t>
            </w:r>
          </w:p>
        </w:tc>
        <w:tc>
          <w:tcPr>
            <w:tcW w:type="dxa" w:w="1440"/>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P value</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Full cohort</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193 / 27</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1.16 (0.81–1.68)</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0.419</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Cirrhosis only</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189 / 27</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1.15 (0.80–1.66)</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0.449</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Excluding HCC</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165 / 22</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1.00 (0.68–1.47)</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0.983</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Excluding PVT</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93 / 12</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1.26 (0.73–2.18)</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0.402</w:t>
            </w:r>
          </w:p>
        </w:tc>
      </w:tr>
    </w:tbl>
    <w:p>
      <w:pPr>
        <w:pStyle w:val="Caption"/>
        <w:keepNext/>
        <w:spacing w:before="120" w:after="60" w:line="240" w:lineRule="auto"/>
      </w:pPr>
      <w:r>
        <w:rPr>
          <w:rFonts w:ascii="Arial" w:hAnsi="Arial"/>
          <w:b/>
          <w:color w:val="000000"/>
          <w:sz w:val="20"/>
        </w:rPr>
        <w:t>Table S6. ICG timing sensitivity analyses</w:t>
      </w:r>
    </w:p>
    <w:tbl>
      <w:tblPr>
        <w:tblStyle w:val="TableGrid"/>
        <w:tblW w:type="dxa" w:w="12888"/>
        <w:jc w:val="left"/>
        <w:tblLayout w:type="fixed"/>
        <w:tblLook w:firstColumn="1" w:firstRow="1" w:lastColumn="0" w:lastRow="0" w:noHBand="0" w:noVBand="1" w:val="04A0"/>
      </w:tblPr>
      <w:tblGrid>
        <w:gridCol w:w="4320"/>
        <w:gridCol w:w="1944"/>
        <w:gridCol w:w="5184"/>
        <w:gridCol w:w="1440"/>
      </w:tblGrid>
      <w:tr>
        <w:trPr>
          <w:tblHeader w:val="true"/>
          <w:cantSplit w:val="true"/>
        </w:trPr>
        <w:tc>
          <w:tcPr>
            <w:tcW w:type="dxa" w:w="4320"/>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Timing analysis</w:t>
            </w:r>
          </w:p>
        </w:tc>
        <w:tc>
          <w:tcPr>
            <w:tcW w:type="dxa" w:w="1944"/>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n / events</w:t>
            </w:r>
          </w:p>
        </w:tc>
        <w:tc>
          <w:tcPr>
            <w:tcW w:type="dxa" w:w="5184"/>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Adjusted ICG-R15 OR per 10% (95% CI)</w:t>
            </w:r>
          </w:p>
        </w:tc>
        <w:tc>
          <w:tcPr>
            <w:tcW w:type="dxa" w:w="1440"/>
            <w:vAlign w:val="center"/>
            <w:tcMar>
              <w:top w:w="65" w:type="dxa"/>
              <w:start w:w="90" w:type="dxa"/>
              <w:bottom w:w="65" w:type="dxa"/>
              <w:end w:w="90" w:type="dxa"/>
            </w:tcMar>
            <w:shd w:fill="FFFFFF"/>
          </w:tcPr>
          <w:p>
            <w:pPr>
              <w:spacing w:after="0" w:line="240" w:lineRule="auto"/>
              <w:jc w:val="center"/>
            </w:pPr>
            <w:r>
              <w:rPr>
                <w:rFonts w:ascii="Arial" w:hAnsi="Arial"/>
                <w:b/>
                <w:color w:val="000000"/>
                <w:sz w:val="17"/>
              </w:rPr>
              <w:t>P value</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Confirmed pre-TIPS date</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129 / 22</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1.28 (0.83–1.97)</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0.258</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Confirmed and within 7 days</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41 / 10</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1.54 (0.75–3.16)</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0.244</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Confirmed and within 14 days</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107 / 18</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1.26 (0.80–2.00)</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0.317</w:t>
            </w:r>
          </w:p>
        </w:tc>
      </w:tr>
      <w:tr>
        <w:trPr>
          <w:cantSplit w:val="true"/>
        </w:trPr>
        <w:tc>
          <w:tcPr>
            <w:tcW w:type="dxa" w:w="4320"/>
            <w:vAlign w:val="center"/>
            <w:tcMar>
              <w:top w:w="65" w:type="dxa"/>
              <w:start w:w="90" w:type="dxa"/>
              <w:bottom w:w="65" w:type="dxa"/>
              <w:end w:w="90" w:type="dxa"/>
            </w:tcMar>
          </w:tcPr>
          <w:p>
            <w:pPr>
              <w:spacing w:after="0" w:line="240" w:lineRule="auto"/>
              <w:jc w:val="left"/>
            </w:pPr>
            <w:r>
              <w:rPr>
                <w:rFonts w:ascii="Arial" w:hAnsi="Arial"/>
                <w:color w:val="000000"/>
                <w:sz w:val="17"/>
              </w:rPr>
              <w:t>Confirmed date plus interval adjustment</w:t>
            </w:r>
          </w:p>
        </w:tc>
        <w:tc>
          <w:tcPr>
            <w:tcW w:type="dxa" w:w="1944"/>
            <w:vAlign w:val="center"/>
            <w:tcMar>
              <w:top w:w="65" w:type="dxa"/>
              <w:start w:w="90" w:type="dxa"/>
              <w:bottom w:w="65" w:type="dxa"/>
              <w:end w:w="90" w:type="dxa"/>
            </w:tcMar>
          </w:tcPr>
          <w:p>
            <w:pPr>
              <w:spacing w:after="0" w:line="240" w:lineRule="auto"/>
              <w:jc w:val="center"/>
            </w:pPr>
            <w:r>
              <w:rPr>
                <w:rFonts w:ascii="Arial" w:hAnsi="Arial"/>
                <w:color w:val="000000"/>
                <w:sz w:val="17"/>
              </w:rPr>
              <w:t>129 / 22</w:t>
            </w:r>
          </w:p>
        </w:tc>
        <w:tc>
          <w:tcPr>
            <w:tcW w:type="dxa" w:w="5184"/>
            <w:vAlign w:val="center"/>
            <w:tcMar>
              <w:top w:w="65" w:type="dxa"/>
              <w:start w:w="90" w:type="dxa"/>
              <w:bottom w:w="65" w:type="dxa"/>
              <w:end w:w="90" w:type="dxa"/>
            </w:tcMar>
          </w:tcPr>
          <w:p>
            <w:pPr>
              <w:spacing w:after="0" w:line="240" w:lineRule="auto"/>
              <w:jc w:val="center"/>
            </w:pPr>
            <w:r>
              <w:rPr>
                <w:rFonts w:ascii="Arial" w:hAnsi="Arial"/>
                <w:color w:val="000000"/>
                <w:sz w:val="17"/>
              </w:rPr>
              <w:t>1.27 (0.83–1.95)</w:t>
            </w:r>
          </w:p>
        </w:tc>
        <w:tc>
          <w:tcPr>
            <w:tcW w:type="dxa" w:w="1440"/>
            <w:vAlign w:val="center"/>
            <w:tcMar>
              <w:top w:w="65" w:type="dxa"/>
              <w:start w:w="90" w:type="dxa"/>
              <w:bottom w:w="65" w:type="dxa"/>
              <w:end w:w="90" w:type="dxa"/>
            </w:tcMar>
          </w:tcPr>
          <w:p>
            <w:pPr>
              <w:spacing w:after="0" w:line="240" w:lineRule="auto"/>
              <w:jc w:val="center"/>
            </w:pPr>
            <w:r>
              <w:rPr>
                <w:rFonts w:ascii="Arial" w:hAnsi="Arial"/>
                <w:color w:val="000000"/>
                <w:sz w:val="17"/>
              </w:rPr>
              <w:t>0.274</w:t>
            </w:r>
          </w:p>
        </w:tc>
      </w:tr>
    </w:tbl>
    <w:p>
      <w:pPr>
        <w:pStyle w:val="Caption"/>
        <w:keepNext/>
        <w:spacing w:before="120" w:after="60" w:line="240" w:lineRule="auto"/>
      </w:pPr>
      <w:r>
        <w:rPr>
          <w:rFonts w:ascii="Arial" w:hAnsi="Arial"/>
          <w:b/>
          <w:color w:val="000000"/>
          <w:sz w:val="20"/>
        </w:rPr>
        <w:t>Table S7. Sensitivity analysis using alternative definitions of the 90-day composite outcome</w:t>
      </w:r>
    </w:p>
    <w:tbl>
      <w:tblPr>
        <w:tblStyle w:val="TableGrid"/>
        <w:tblW w:type="dxa" w:w="13680"/>
        <w:jc w:val="left"/>
        <w:tblLayout w:type="fixed"/>
        <w:tblLook w:firstColumn="1" w:firstRow="1" w:lastColumn="0" w:lastRow="0" w:noHBand="0" w:noVBand="1" w:val="04A0"/>
      </w:tblPr>
      <w:tblGrid>
        <w:gridCol w:w="3888"/>
        <w:gridCol w:w="1008"/>
        <w:gridCol w:w="4392"/>
        <w:gridCol w:w="1152"/>
        <w:gridCol w:w="3240"/>
      </w:tblGrid>
      <w:tr>
        <w:trPr>
          <w:tblHeader w:val="true"/>
          <w:cantSplit w:val="true"/>
        </w:trPr>
        <w:tc>
          <w:tcPr>
            <w:tcW w:type="dxa" w:w="3888"/>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Endpoint</w:t>
            </w:r>
          </w:p>
        </w:tc>
        <w:tc>
          <w:tcPr>
            <w:tcW w:type="dxa" w:w="1008"/>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Events</w:t>
            </w:r>
          </w:p>
        </w:tc>
        <w:tc>
          <w:tcPr>
            <w:tcW w:type="dxa" w:w="4392"/>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Adjusted ICG-R15 OR per 10% (95% CI)</w:t>
            </w:r>
          </w:p>
        </w:tc>
        <w:tc>
          <w:tcPr>
            <w:tcW w:type="dxa" w:w="1152"/>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P value</w:t>
            </w:r>
          </w:p>
        </w:tc>
        <w:tc>
          <w:tcPr>
            <w:tcW w:type="dxa" w:w="3240"/>
            <w:vAlign w:val="center"/>
            <w:tcMar>
              <w:top w:w="65" w:type="dxa"/>
              <w:start w:w="90" w:type="dxa"/>
              <w:bottom w:w="65" w:type="dxa"/>
              <w:end w:w="90" w:type="dxa"/>
            </w:tcMar>
            <w:shd w:fill="FFFFFF"/>
          </w:tcPr>
          <w:p>
            <w:pPr>
              <w:spacing w:after="0" w:line="240" w:lineRule="auto"/>
              <w:jc w:val="center"/>
            </w:pPr>
            <w:r>
              <w:rPr>
                <w:rFonts w:ascii="Arial" w:hAnsi="Arial"/>
                <w:b/>
                <w:color w:val="000000"/>
                <w:sz w:val="16"/>
              </w:rPr>
              <w:t>Apparent / corrected AUC with ICG</w:t>
            </w:r>
          </w:p>
        </w:tc>
      </w:tr>
      <w:tr>
        <w:trPr>
          <w:cantSplit w:val="true"/>
        </w:trPr>
        <w:tc>
          <w:tcPr>
            <w:tcW w:type="dxa" w:w="3888"/>
            <w:vAlign w:val="center"/>
            <w:tcMar>
              <w:top w:w="65" w:type="dxa"/>
              <w:start w:w="90" w:type="dxa"/>
              <w:bottom w:w="65" w:type="dxa"/>
              <w:end w:w="90" w:type="dxa"/>
            </w:tcMar>
          </w:tcPr>
          <w:p>
            <w:pPr>
              <w:spacing w:after="0" w:line="240" w:lineRule="auto"/>
              <w:jc w:val="left"/>
            </w:pPr>
            <w:r>
              <w:rPr>
                <w:rFonts w:ascii="Arial" w:hAnsi="Arial"/>
                <w:color w:val="000000"/>
                <w:sz w:val="16"/>
              </w:rPr>
              <w:t>Strict primary composite</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27</w:t>
            </w:r>
          </w:p>
        </w:tc>
        <w:tc>
          <w:tcPr>
            <w:tcW w:type="dxa" w:w="4392"/>
            <w:vAlign w:val="center"/>
            <w:tcMar>
              <w:top w:w="65" w:type="dxa"/>
              <w:start w:w="90" w:type="dxa"/>
              <w:bottom w:w="65" w:type="dxa"/>
              <w:end w:w="90" w:type="dxa"/>
            </w:tcMar>
          </w:tcPr>
          <w:p>
            <w:pPr>
              <w:spacing w:after="0" w:line="240" w:lineRule="auto"/>
              <w:jc w:val="center"/>
            </w:pPr>
            <w:r>
              <w:rPr>
                <w:rFonts w:ascii="Arial" w:hAnsi="Arial"/>
                <w:color w:val="000000"/>
                <w:sz w:val="16"/>
              </w:rPr>
              <w:t>1.16 (0.81–1.68)</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6"/>
              </w:rPr>
              <w:t>0.419</w:t>
            </w:r>
          </w:p>
        </w:tc>
        <w:tc>
          <w:tcPr>
            <w:tcW w:type="dxa" w:w="3240"/>
            <w:vAlign w:val="center"/>
            <w:tcMar>
              <w:top w:w="65" w:type="dxa"/>
              <w:start w:w="90" w:type="dxa"/>
              <w:bottom w:w="65" w:type="dxa"/>
              <w:end w:w="90" w:type="dxa"/>
            </w:tcMar>
          </w:tcPr>
          <w:p>
            <w:pPr>
              <w:spacing w:after="0" w:line="240" w:lineRule="auto"/>
              <w:jc w:val="center"/>
            </w:pPr>
            <w:r>
              <w:rPr>
                <w:rFonts w:ascii="Arial" w:hAnsi="Arial"/>
                <w:color w:val="000000"/>
                <w:sz w:val="16"/>
              </w:rPr>
              <w:t>0.647 / 0.592</w:t>
            </w:r>
          </w:p>
        </w:tc>
      </w:tr>
      <w:tr>
        <w:trPr>
          <w:cantSplit w:val="true"/>
        </w:trPr>
        <w:tc>
          <w:tcPr>
            <w:tcW w:type="dxa" w:w="3888"/>
            <w:vAlign w:val="center"/>
            <w:tcMar>
              <w:top w:w="65" w:type="dxa"/>
              <w:start w:w="90" w:type="dxa"/>
              <w:bottom w:w="65" w:type="dxa"/>
              <w:end w:w="90" w:type="dxa"/>
            </w:tcMar>
          </w:tcPr>
          <w:p>
            <w:pPr>
              <w:spacing w:after="0" w:line="240" w:lineRule="auto"/>
              <w:jc w:val="left"/>
            </w:pPr>
            <w:r>
              <w:rPr>
                <w:rFonts w:ascii="Arial" w:hAnsi="Arial"/>
                <w:color w:val="000000"/>
                <w:sz w:val="16"/>
              </w:rPr>
              <w:t>Pending readmission labels retained</w:t>
            </w:r>
          </w:p>
        </w:tc>
        <w:tc>
          <w:tcPr>
            <w:tcW w:type="dxa" w:w="1008"/>
            <w:vAlign w:val="center"/>
            <w:tcMar>
              <w:top w:w="65" w:type="dxa"/>
              <w:start w:w="90" w:type="dxa"/>
              <w:bottom w:w="65" w:type="dxa"/>
              <w:end w:w="90" w:type="dxa"/>
            </w:tcMar>
          </w:tcPr>
          <w:p>
            <w:pPr>
              <w:spacing w:after="0" w:line="240" w:lineRule="auto"/>
              <w:jc w:val="center"/>
            </w:pPr>
            <w:r>
              <w:rPr>
                <w:rFonts w:ascii="Arial" w:hAnsi="Arial"/>
                <w:color w:val="000000"/>
                <w:sz w:val="16"/>
              </w:rPr>
              <w:t>38</w:t>
            </w:r>
          </w:p>
        </w:tc>
        <w:tc>
          <w:tcPr>
            <w:tcW w:type="dxa" w:w="4392"/>
            <w:vAlign w:val="center"/>
            <w:tcMar>
              <w:top w:w="65" w:type="dxa"/>
              <w:start w:w="90" w:type="dxa"/>
              <w:bottom w:w="65" w:type="dxa"/>
              <w:end w:w="90" w:type="dxa"/>
            </w:tcMar>
          </w:tcPr>
          <w:p>
            <w:pPr>
              <w:spacing w:after="0" w:line="240" w:lineRule="auto"/>
              <w:jc w:val="center"/>
            </w:pPr>
            <w:r>
              <w:rPr>
                <w:rFonts w:ascii="Arial" w:hAnsi="Arial"/>
                <w:color w:val="000000"/>
                <w:sz w:val="16"/>
              </w:rPr>
              <w:t>1.37 (0.99–1.91)</w:t>
            </w:r>
          </w:p>
        </w:tc>
        <w:tc>
          <w:tcPr>
            <w:tcW w:type="dxa" w:w="1152"/>
            <w:vAlign w:val="center"/>
            <w:tcMar>
              <w:top w:w="65" w:type="dxa"/>
              <w:start w:w="90" w:type="dxa"/>
              <w:bottom w:w="65" w:type="dxa"/>
              <w:end w:w="90" w:type="dxa"/>
            </w:tcMar>
          </w:tcPr>
          <w:p>
            <w:pPr>
              <w:spacing w:after="0" w:line="240" w:lineRule="auto"/>
              <w:jc w:val="center"/>
            </w:pPr>
            <w:r>
              <w:rPr>
                <w:rFonts w:ascii="Arial" w:hAnsi="Arial"/>
                <w:color w:val="000000"/>
                <w:sz w:val="16"/>
              </w:rPr>
              <w:t>0.060</w:t>
            </w:r>
          </w:p>
        </w:tc>
        <w:tc>
          <w:tcPr>
            <w:tcW w:type="dxa" w:w="3240"/>
            <w:vAlign w:val="center"/>
            <w:tcMar>
              <w:top w:w="65" w:type="dxa"/>
              <w:start w:w="90" w:type="dxa"/>
              <w:bottom w:w="65" w:type="dxa"/>
              <w:end w:w="90" w:type="dxa"/>
            </w:tcMar>
          </w:tcPr>
          <w:p>
            <w:pPr>
              <w:spacing w:after="0" w:line="240" w:lineRule="auto"/>
              <w:jc w:val="center"/>
            </w:pPr>
            <w:r>
              <w:rPr>
                <w:rFonts w:ascii="Arial" w:hAnsi="Arial"/>
                <w:color w:val="000000"/>
                <w:sz w:val="16"/>
              </w:rPr>
              <w:t>0.661 / 0.616</w:t>
            </w:r>
          </w:p>
        </w:tc>
      </w:tr>
    </w:tbl>
    <w:p>
      <w:r>
        <w:rPr>
          <w:rFonts w:ascii="Arial" w:hAnsi="Arial"/>
          <w:i/>
          <w:color w:val="000000"/>
          <w:sz w:val="21"/>
        </w:rPr>
        <w:t>The pending-label sensitivity retained 11 readmission-positive records that lacked definitive timing or liver-related cause evidence. The strict primary endpoint excluded those labels.</w:t>
      </w:r>
    </w:p>
    <w:sectPr w:rsidR="00FC693F" w:rsidRPr="0006063C" w:rsidSect="00034616">
      <w:headerReference w:type="default" r:id="rId9"/>
      <w:footerReference w:type="default" r:id="rId10"/>
      <w:pgSz w:w="16834" w:h="11909" w:orient="landscape"/>
      <w:pgMar w:top="1224" w:right="1224" w:bottom="1224"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color w:val="555555"/>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55555"/>
        <w:sz w:val="17"/>
      </w:rPr>
      <w:t>ADDITIONAL FILE 1 | SUPPLEMENTARY MATERIAL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Arial" w:hAnsi="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line="259" w:lineRule="auto"/>
      <w:outlineLvl w:val="1"/>
    </w:pPr>
    <w:rPr>
      <w:rFonts w:asciiTheme="majorHAnsi" w:eastAsiaTheme="majorEastAsia" w:hAnsiTheme="majorHAnsi" w:cstheme="majorBidi" w:ascii="Arial" w:hAnsi="Arial"/>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40" w:after="60" w:line="259" w:lineRule="auto"/>
      <w:outlineLvl w:val="2"/>
    </w:pPr>
    <w:rPr>
      <w:rFonts w:asciiTheme="majorHAnsi" w:eastAsiaTheme="majorEastAsia" w:hAnsiTheme="majorHAnsi" w:cstheme="majorBidi" w:ascii="Arial" w:hAnsi="Arial"/>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