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B381A" w14:textId="77777777" w:rsidR="00D67DFE" w:rsidRPr="005D37E1" w:rsidRDefault="00D67DFE" w:rsidP="00D67DFE">
      <w:pPr>
        <w:autoSpaceDE w:val="0"/>
        <w:autoSpaceDN w:val="0"/>
        <w:spacing w:line="360" w:lineRule="auto"/>
        <w:jc w:val="both"/>
        <w:rPr>
          <w:rFonts w:ascii="Arial" w:eastAsia="Times New Roman" w:hAnsi="Arial" w:cs="Arial"/>
          <w:b/>
          <w:bCs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Supplementary Figure Legends</w:t>
      </w:r>
    </w:p>
    <w:p w14:paraId="55541064" w14:textId="77777777" w:rsidR="00D67DFE" w:rsidRPr="005D37E1" w:rsidRDefault="00D67DFE" w:rsidP="00D67DFE">
      <w:pPr>
        <w:autoSpaceDE w:val="0"/>
        <w:autoSpaceDN w:val="0"/>
        <w:spacing w:line="360" w:lineRule="auto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Figure S1: PFDLC-based isolation and spatial validation of niche-specific GBM cell populations.</w:t>
      </w:r>
      <w:r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b/>
          <w:bCs/>
          <w:lang w:val="en-US"/>
        </w:rPr>
        <w:t>(a)</w:t>
      </w:r>
      <w:r>
        <w:rPr>
          <w:rFonts w:ascii="Arial" w:eastAsia="Times New Roman" w:hAnsi="Arial" w:cs="Arial"/>
          <w:lang w:val="en-US"/>
        </w:rPr>
        <w:t xml:space="preserve"> PFDLC methodology for isolating niche-specific cells from tumor xenografts. </w:t>
      </w:r>
      <w:r>
        <w:rPr>
          <w:rFonts w:ascii="Arial" w:eastAsia="Times New Roman" w:hAnsi="Arial" w:cs="Arial"/>
          <w:b/>
          <w:bCs/>
          <w:lang w:val="en-US"/>
        </w:rPr>
        <w:t>(b)</w:t>
      </w:r>
      <w:r>
        <w:rPr>
          <w:rFonts w:ascii="Arial" w:eastAsia="Times New Roman" w:hAnsi="Arial" w:cs="Arial"/>
          <w:lang w:val="en-US"/>
        </w:rPr>
        <w:t xml:space="preserve"> FACS gating strategy for sorting GFP+ cancer cells into HH (17%), HM (27%), and HL (50%) fractions based on Hoechst 33342 uptake. </w:t>
      </w:r>
      <w:r>
        <w:rPr>
          <w:rFonts w:ascii="Arial" w:eastAsia="Times New Roman" w:hAnsi="Arial" w:cs="Arial"/>
          <w:b/>
          <w:bCs/>
          <w:lang w:val="en-US"/>
        </w:rPr>
        <w:t>(c, d)</w:t>
      </w:r>
      <w:r>
        <w:rPr>
          <w:rFonts w:ascii="Arial" w:eastAsia="Times New Roman" w:hAnsi="Arial" w:cs="Arial"/>
          <w:lang w:val="en-US"/>
        </w:rPr>
        <w:t xml:space="preserve"> Spatial validation of the Hoechst gradient via CD31 (vascular) and GLUT1 (hypoxic) co-staining. Scale bars: 10 μm (2 μm insets).</w:t>
      </w:r>
    </w:p>
    <w:p w14:paraId="1505A918" w14:textId="77777777" w:rsidR="00D67DFE" w:rsidRPr="005D37E1" w:rsidRDefault="00D67DFE" w:rsidP="00D67DFE">
      <w:pPr>
        <w:autoSpaceDE w:val="0"/>
        <w:autoSpaceDN w:val="0"/>
        <w:spacing w:line="360" w:lineRule="auto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Figure S2: Niche-specific CpG methylation shifts across the perfusion spectrum.</w:t>
      </w:r>
      <w:r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b/>
          <w:bCs/>
          <w:lang w:val="en-US"/>
        </w:rPr>
        <w:t>(a, b)</w:t>
      </w:r>
      <w:r>
        <w:rPr>
          <w:rFonts w:ascii="Arial" w:eastAsia="Times New Roman" w:hAnsi="Arial" w:cs="Arial"/>
          <w:lang w:val="en-US"/>
        </w:rPr>
        <w:t xml:space="preserve"> Volcano plots for HL versus HM and HM versus HH comparisons. </w:t>
      </w:r>
      <w:r>
        <w:rPr>
          <w:rFonts w:ascii="Arial" w:eastAsia="Times New Roman" w:hAnsi="Arial" w:cs="Arial"/>
          <w:b/>
          <w:bCs/>
          <w:lang w:val="en-US"/>
        </w:rPr>
        <w:t>(c, d)</w:t>
      </w:r>
      <w:r>
        <w:rPr>
          <w:rFonts w:ascii="Arial" w:eastAsia="Times New Roman" w:hAnsi="Arial" w:cs="Arial"/>
          <w:lang w:val="en-US"/>
        </w:rPr>
        <w:t xml:space="preserve"> Circos plots of chromosomal distribution for these transitions. </w:t>
      </w:r>
      <w:r>
        <w:rPr>
          <w:rFonts w:ascii="Arial" w:eastAsia="Times New Roman" w:hAnsi="Arial" w:cs="Arial"/>
          <w:b/>
          <w:bCs/>
          <w:lang w:val="en-US"/>
        </w:rPr>
        <w:t>(e–h)</w:t>
      </w:r>
      <w:r>
        <w:rPr>
          <w:rFonts w:ascii="Arial" w:eastAsia="Times New Roman" w:hAnsi="Arial" w:cs="Arial"/>
          <w:lang w:val="en-US"/>
        </w:rPr>
        <w:t xml:space="preserve"> Distribution of hypermethylated and hypomethylated CpGs across genetic and CGI features for HL versus HM and HM versus HH comparisons.</w:t>
      </w:r>
    </w:p>
    <w:p w14:paraId="1534AC41" w14:textId="77777777" w:rsidR="00D67DFE" w:rsidRPr="008F2D41" w:rsidRDefault="00D67DFE" w:rsidP="00D67DFE">
      <w:pPr>
        <w:autoSpaceDE w:val="0"/>
        <w:autoSpaceDN w:val="0"/>
        <w:spacing w:line="360" w:lineRule="auto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Figure S3: Clinical and molecular landscape of hypomethylated target genes.</w:t>
      </w:r>
      <w:r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b/>
          <w:bCs/>
          <w:lang w:val="en-US"/>
        </w:rPr>
        <w:t>(a)</w:t>
      </w:r>
      <w:r>
        <w:rPr>
          <w:rFonts w:ascii="Arial" w:eastAsia="Times New Roman" w:hAnsi="Arial" w:cs="Arial"/>
          <w:lang w:val="en-US"/>
        </w:rPr>
        <w:t xml:space="preserve"> Venn diagram of hypomethylated/upregulated and hypermethylated/downregulated genes (excluding IGRs). </w:t>
      </w:r>
      <w:r>
        <w:rPr>
          <w:rFonts w:ascii="Arial" w:eastAsia="Times New Roman" w:hAnsi="Arial" w:cs="Arial"/>
          <w:b/>
          <w:bCs/>
          <w:lang w:val="en-US"/>
        </w:rPr>
        <w:t>(b–e)</w:t>
      </w:r>
      <w:r>
        <w:rPr>
          <w:rFonts w:ascii="Arial" w:eastAsia="Times New Roman" w:hAnsi="Arial" w:cs="Arial"/>
          <w:lang w:val="en-US"/>
        </w:rPr>
        <w:t xml:space="preserve"> Chromosomal maps with β values of hypomethylated sites in target genes. </w:t>
      </w:r>
      <w:r>
        <w:rPr>
          <w:rFonts w:ascii="Arial" w:eastAsia="Times New Roman" w:hAnsi="Arial" w:cs="Arial"/>
          <w:b/>
          <w:bCs/>
          <w:lang w:val="en-US"/>
        </w:rPr>
        <w:t>(f)</w:t>
      </w:r>
      <w:r>
        <w:rPr>
          <w:rFonts w:ascii="Arial" w:eastAsia="Times New Roman" w:hAnsi="Arial" w:cs="Arial"/>
          <w:lang w:val="en-US"/>
        </w:rPr>
        <w:t xml:space="preserve"> Table summarizing hypomethylated CpG positions (Δβ values) and log</w:t>
      </w:r>
      <w:r>
        <w:rPr>
          <w:rFonts w:ascii="Arial" w:eastAsia="Times New Roman" w:hAnsi="Arial" w:cs="Arial"/>
          <w:vertAlign w:val="subscript"/>
          <w:lang w:val="en-US"/>
        </w:rPr>
        <w:t>2</w:t>
      </w:r>
      <w:r>
        <w:rPr>
          <w:rFonts w:ascii="Arial" w:eastAsia="Times New Roman" w:hAnsi="Arial" w:cs="Arial"/>
          <w:lang w:val="en-US"/>
        </w:rPr>
        <w:t xml:space="preserve">FC expression. </w:t>
      </w:r>
      <w:r>
        <w:rPr>
          <w:rFonts w:ascii="Arial" w:eastAsia="Times New Roman" w:hAnsi="Arial" w:cs="Arial"/>
          <w:b/>
          <w:bCs/>
          <w:lang w:val="en-US"/>
        </w:rPr>
        <w:t>(g–j)</w:t>
      </w:r>
      <w:r>
        <w:rPr>
          <w:rFonts w:ascii="Arial" w:eastAsia="Times New Roman" w:hAnsi="Arial" w:cs="Arial"/>
          <w:lang w:val="en-US"/>
        </w:rPr>
        <w:t xml:space="preserve"> Patient demographics, molecular subtype and G-CIMP status for TCGA cohorts. Analysis by Student’s t-test for age and </w:t>
      </w:r>
      <w:r>
        <w:rPr>
          <w:rFonts w:ascii="Cambria" w:eastAsia="Times New Roman" w:hAnsi="Cambria" w:cs="Cambria"/>
          <w:lang w:val="en-US"/>
        </w:rPr>
        <w:t>χ</w:t>
      </w:r>
      <w:r>
        <w:rPr>
          <w:rFonts w:ascii="Arial" w:eastAsia="Times New Roman" w:hAnsi="Arial" w:cs="Arial"/>
          <w:vertAlign w:val="superscript"/>
          <w:lang w:val="en-US"/>
        </w:rPr>
        <w:t>2</w:t>
      </w:r>
      <w:r>
        <w:rPr>
          <w:rFonts w:ascii="Arial" w:eastAsia="Times New Roman" w:hAnsi="Arial" w:cs="Arial"/>
          <w:lang w:val="en-US"/>
        </w:rPr>
        <w:t xml:space="preserve"> contingency test for gender, molecular subtype and G-CIMP status. </w:t>
      </w:r>
      <w:r>
        <w:rPr>
          <w:rFonts w:ascii="Arial" w:eastAsia="Times New Roman" w:hAnsi="Arial" w:cs="Arial"/>
          <w:b/>
          <w:bCs/>
          <w:lang w:val="en-US"/>
        </w:rPr>
        <w:t>(k–o)</w:t>
      </w:r>
      <w:r>
        <w:rPr>
          <w:rFonts w:ascii="Arial" w:eastAsia="Times New Roman" w:hAnsi="Arial" w:cs="Arial"/>
          <w:lang w:val="en-US"/>
        </w:rPr>
        <w:t xml:space="preserve"> Target gene expression across GBM molecular subtypes. Statistical significance by one-way ANOVA with Games-Howell correction.</w:t>
      </w:r>
      <w:r>
        <w:rPr>
          <w:rFonts w:ascii="Arial" w:eastAsia="Times New Roman" w:hAnsi="Arial" w:cs="Arial"/>
          <w:b/>
          <w:bCs/>
          <w:lang w:val="en-US"/>
        </w:rPr>
        <w:t xml:space="preserve"> (p-s)</w:t>
      </w:r>
      <w:r>
        <w:rPr>
          <w:rFonts w:ascii="Arial" w:eastAsia="Times New Roman" w:hAnsi="Arial" w:cs="Arial"/>
          <w:lang w:val="en-US"/>
        </w:rPr>
        <w:t xml:space="preserve"> Target gene expression between G-CIMP status groups. Analysis by Welch’s t-test.</w:t>
      </w:r>
      <w:r>
        <w:rPr>
          <w:rFonts w:ascii="Arial" w:eastAsia="+mn-ea" w:hAnsi="Arial" w:cs="Arial"/>
          <w:color w:val="000000"/>
          <w:kern w:val="24"/>
          <w:sz w:val="32"/>
          <w:szCs w:val="32"/>
          <w:lang w:val="en-US"/>
        </w:rPr>
        <w:t xml:space="preserve"> </w:t>
      </w:r>
      <w:r>
        <w:rPr>
          <w:rFonts w:ascii="Arial" w:eastAsia="+mn-ea" w:hAnsi="Arial" w:cs="Arial"/>
          <w:color w:val="000000"/>
          <w:kern w:val="24"/>
          <w:lang w:val="en-US"/>
        </w:rPr>
        <w:t>*** p &lt;0.001, ** p &lt;0.01, * p &lt;0.05, ns: non-significant.</w:t>
      </w:r>
    </w:p>
    <w:p w14:paraId="20C0E560" w14:textId="77777777" w:rsidR="00D67DFE" w:rsidRPr="005D37E1" w:rsidRDefault="00D67DFE" w:rsidP="00D67DFE">
      <w:pPr>
        <w:autoSpaceDE w:val="0"/>
        <w:autoSpaceDN w:val="0"/>
        <w:spacing w:line="360" w:lineRule="auto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Figure S4: Single-cell resolution of the hypoxia-perfusion axis.</w:t>
      </w:r>
      <w:r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b/>
          <w:bCs/>
          <w:lang w:val="en-US"/>
        </w:rPr>
        <w:t>(a–d)</w:t>
      </w:r>
      <w:r>
        <w:rPr>
          <w:rFonts w:ascii="Arial" w:eastAsia="Times New Roman" w:hAnsi="Arial" w:cs="Arial"/>
          <w:lang w:val="en-US"/>
        </w:rPr>
        <w:t xml:space="preserve"> Individual and integrated UMAPs of scRNA-seq datasets. </w:t>
      </w:r>
      <w:r>
        <w:rPr>
          <w:rFonts w:ascii="Arial" w:eastAsia="Times New Roman" w:hAnsi="Arial" w:cs="Arial"/>
          <w:b/>
          <w:bCs/>
          <w:lang w:val="en-US"/>
        </w:rPr>
        <w:t>(e, f)</w:t>
      </w:r>
      <w:r>
        <w:rPr>
          <w:rFonts w:ascii="Arial" w:eastAsia="Times New Roman" w:hAnsi="Arial" w:cs="Arial"/>
          <w:lang w:val="en-US"/>
        </w:rPr>
        <w:t xml:space="preserve"> GLUT1 and VEGFA expression and hypoxia scores across 27 clusters. </w:t>
      </w:r>
      <w:r>
        <w:rPr>
          <w:rFonts w:ascii="Arial" w:eastAsia="Times New Roman" w:hAnsi="Arial" w:cs="Arial"/>
          <w:b/>
          <w:bCs/>
          <w:lang w:val="en-US"/>
        </w:rPr>
        <w:t>(g–j)</w:t>
      </w:r>
      <w:r>
        <w:rPr>
          <w:rFonts w:ascii="Arial" w:eastAsia="Times New Roman" w:hAnsi="Arial" w:cs="Arial"/>
          <w:lang w:val="en-US"/>
        </w:rPr>
        <w:t xml:space="preserve"> KEGG pathways for subclusters H1 and N1–N3. </w:t>
      </w:r>
      <w:r>
        <w:rPr>
          <w:rFonts w:ascii="Arial" w:eastAsia="Times New Roman" w:hAnsi="Arial" w:cs="Arial"/>
          <w:b/>
          <w:bCs/>
          <w:lang w:val="en-US"/>
        </w:rPr>
        <w:t>(k)</w:t>
      </w:r>
      <w:r>
        <w:rPr>
          <w:rFonts w:ascii="Arial" w:eastAsia="Times New Roman" w:hAnsi="Arial" w:cs="Arial"/>
          <w:lang w:val="en-US"/>
        </w:rPr>
        <w:t xml:space="preserve"> Heatmap of H1-specific DEGs showing the absence of target gene signatures.</w:t>
      </w:r>
    </w:p>
    <w:p w14:paraId="232C4A5A" w14:textId="77777777" w:rsidR="00D67DFE" w:rsidRPr="005D37E1" w:rsidRDefault="00D67DFE" w:rsidP="00D67DFE">
      <w:pPr>
        <w:autoSpaceDE w:val="0"/>
        <w:autoSpaceDN w:val="0"/>
        <w:spacing w:line="360" w:lineRule="auto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Figure S5: Spatial transcriptomic cell clustering and marker distribution.</w:t>
      </w:r>
      <w:r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b/>
          <w:bCs/>
          <w:lang w:val="en-US"/>
        </w:rPr>
        <w:t>(a–d)</w:t>
      </w:r>
      <w:r>
        <w:rPr>
          <w:rFonts w:ascii="Arial" w:eastAsia="Times New Roman" w:hAnsi="Arial" w:cs="Arial"/>
          <w:lang w:val="en-US"/>
        </w:rPr>
        <w:t xml:space="preserve"> Unsupervised clustering and spot percentages for clusters in patient sections S1–S3. </w:t>
      </w:r>
      <w:r>
        <w:rPr>
          <w:rFonts w:ascii="Arial" w:eastAsia="Times New Roman" w:hAnsi="Arial" w:cs="Arial"/>
          <w:b/>
          <w:bCs/>
          <w:lang w:val="en-US"/>
        </w:rPr>
        <w:t>(e–j)</w:t>
      </w:r>
      <w:r>
        <w:rPr>
          <w:rFonts w:ascii="Arial" w:eastAsia="Times New Roman" w:hAnsi="Arial" w:cs="Arial"/>
          <w:lang w:val="en-US"/>
        </w:rPr>
        <w:t xml:space="preserve"> Mapping of total transcript (n-count) and gene (n-feature) distributions. </w:t>
      </w:r>
      <w:r>
        <w:rPr>
          <w:rFonts w:ascii="Arial" w:eastAsia="Times New Roman" w:hAnsi="Arial" w:cs="Arial"/>
          <w:b/>
          <w:bCs/>
          <w:lang w:val="en-US"/>
        </w:rPr>
        <w:t>(k–o)</w:t>
      </w:r>
      <w:r>
        <w:rPr>
          <w:rFonts w:ascii="Arial" w:eastAsia="Times New Roman" w:hAnsi="Arial" w:cs="Arial"/>
          <w:lang w:val="en-US"/>
        </w:rPr>
        <w:t xml:space="preserve"> Spatial expression and distribution of tertile-based expression spots in spatial zones for hypoxia markers GLUT1 and VEGFA.</w:t>
      </w:r>
    </w:p>
    <w:p w14:paraId="4082B916" w14:textId="77777777" w:rsidR="008B07A6" w:rsidRDefault="008B07A6"/>
    <w:sectPr w:rsidR="008B07A6" w:rsidSect="00D67DFE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FE"/>
    <w:rsid w:val="00066677"/>
    <w:rsid w:val="00153A17"/>
    <w:rsid w:val="001A37F3"/>
    <w:rsid w:val="003A4E89"/>
    <w:rsid w:val="00556784"/>
    <w:rsid w:val="008B07A6"/>
    <w:rsid w:val="0093777B"/>
    <w:rsid w:val="0097029A"/>
    <w:rsid w:val="00987B63"/>
    <w:rsid w:val="00990454"/>
    <w:rsid w:val="00A234E6"/>
    <w:rsid w:val="00BF13F9"/>
    <w:rsid w:val="00CE738E"/>
    <w:rsid w:val="00D31E7D"/>
    <w:rsid w:val="00D67DFE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E0967"/>
  <w15:chartTrackingRefBased/>
  <w15:docId w15:val="{38CCD1B7-5A92-44A9-8CB4-2937E0A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DFE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7D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DF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DF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DF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DF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DF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DF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DF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DF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7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DF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7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DF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7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DFE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7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DFE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D67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2026-10-13T17:25:00Z</dcterms:created>
  <dcterms:modified xsi:type="dcterms:W3CDTF">2026-10-13T17:25:00Z</dcterms:modified>
</cp:coreProperties>
</file>