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Times New Roman" w:hAnsi="Times New Roman"/>
          <w:sz w:val="22"/>
        </w:rPr>
        <w:t>1. High-chlorine co-incineration fly ash converted into 900-grade lightweight ceramsite.</w:t>
      </w:r>
    </w:p>
    <w:p>
      <w:pPr>
        <w:spacing w:after="160"/>
      </w:pPr>
      <w:r>
        <w:rPr>
          <w:rFonts w:ascii="Times New Roman" w:hAnsi="Times New Roman"/>
          <w:sz w:val="22"/>
        </w:rPr>
        <w:t>2. Three-stage washing removes 96.2% of chlorine before sintering.</w:t>
      </w:r>
    </w:p>
    <w:p>
      <w:pPr>
        <w:spacing w:after="160"/>
      </w:pPr>
      <w:r>
        <w:rPr>
          <w:rFonts w:ascii="Times New Roman" w:hAnsi="Times New Roman"/>
          <w:sz w:val="22"/>
        </w:rPr>
        <w:t>3. Optimal formulation uses 20% fly ash with tuff as the framework precursor.</w:t>
      </w:r>
    </w:p>
    <w:p>
      <w:pPr>
        <w:spacing w:after="160"/>
      </w:pPr>
      <w:r>
        <w:rPr>
          <w:rFonts w:ascii="Times New Roman" w:hAnsi="Times New Roman"/>
          <w:sz w:val="22"/>
        </w:rPr>
        <w:t>4. Chlorine and heavy-metal balances established for the washing-sintering route.</w:t>
      </w:r>
    </w:p>
    <w:p>
      <w:pPr>
        <w:spacing w:after="160"/>
      </w:pPr>
      <w:r>
        <w:rPr>
          <w:rFonts w:ascii="Times New Roman" w:hAnsi="Times New Roman"/>
          <w:sz w:val="22"/>
        </w:rPr>
        <w:t>5. Sintering lowers Pb, Cd, and Zn leachability below regulatory limits.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