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31646" w14:textId="77777777" w:rsidR="00313C50" w:rsidRPr="00C64F33" w:rsidRDefault="00000000" w:rsidP="00C64F33">
      <w:pPr>
        <w:spacing w:after="0"/>
        <w:rPr>
          <w:b/>
          <w:bCs/>
          <w:sz w:val="26"/>
          <w:szCs w:val="26"/>
        </w:rPr>
      </w:pPr>
      <w:r w:rsidRPr="00C64F33">
        <w:rPr>
          <w:b/>
          <w:bCs/>
          <w:sz w:val="26"/>
          <w:szCs w:val="26"/>
        </w:rPr>
        <w:t>Supplementary documentary evidence for medical tourism governance</w:t>
      </w:r>
    </w:p>
    <w:p w14:paraId="160A4AB5" w14:textId="77777777" w:rsidR="00313C50" w:rsidRDefault="00000000">
      <w:r>
        <w:t>Companion to the revised manuscript on medical tourism governance in Asia and the focused Chinese case.</w:t>
      </w:r>
    </w:p>
    <w:p w14:paraId="23E0BBFA" w14:textId="77777777" w:rsidR="00313C50" w:rsidRDefault="00000000">
      <w:r>
        <w:t>This file records the 26 case sources used in the revision completed on 7 September 2026. It separates documentary provisions, reported activity and interpretive limits. The companion S1 workbook preserves the supplied 30-entry register and explains how each original entry relates to the revised analysis.</w:t>
      </w:r>
    </w:p>
    <w:p w14:paraId="7F981E76" w14:textId="77777777" w:rsidR="00313C50" w:rsidRPr="00C64F33" w:rsidRDefault="00000000" w:rsidP="00C64F33">
      <w:pPr>
        <w:spacing w:after="0"/>
        <w:rPr>
          <w:b/>
          <w:bCs/>
          <w:sz w:val="26"/>
          <w:szCs w:val="26"/>
        </w:rPr>
      </w:pPr>
      <w:r w:rsidRPr="00C64F33">
        <w:rPr>
          <w:b/>
          <w:bCs/>
          <w:sz w:val="26"/>
          <w:szCs w:val="26"/>
        </w:rPr>
        <w:t>Table S1  Source register and extraction matrix</w:t>
      </w:r>
    </w:p>
    <w:p w14:paraId="09D5A15D" w14:textId="77777777" w:rsidR="00313C50" w:rsidRDefault="00000000">
      <w:r>
        <w:t>Source numbers in square brackets match the revised manuscript. Locators refer to source sections or printed PDF pages. Short English titles for Chinese, Japanese and Korean records are descriptive translations. All web sources were checked on 7 September 2026.</w:t>
      </w:r>
    </w:p>
    <w:tbl>
      <w:tblPr>
        <w:tblW w:w="0" w:type="auto"/>
        <w:jc w:val="center"/>
        <w:tblBorders>
          <w:top w:val="single" w:sz="4" w:space="0" w:color="A6A6A6"/>
          <w:left w:val="nil"/>
          <w:bottom w:val="single" w:sz="4" w:space="0" w:color="A6A6A6"/>
          <w:right w:val="nil"/>
          <w:insideH w:val="single" w:sz="4" w:space="0" w:color="A6A6A6"/>
          <w:insideV w:val="nil"/>
        </w:tblBorders>
        <w:tblLayout w:type="fixed"/>
        <w:tblLook w:val="04A0" w:firstRow="1" w:lastRow="0" w:firstColumn="1" w:lastColumn="0" w:noHBand="0" w:noVBand="1"/>
      </w:tblPr>
      <w:tblGrid>
        <w:gridCol w:w="1008"/>
        <w:gridCol w:w="4752"/>
        <w:gridCol w:w="4104"/>
        <w:gridCol w:w="4104"/>
      </w:tblGrid>
      <w:tr w:rsidR="00313C50" w14:paraId="1DF2C291" w14:textId="77777777">
        <w:trPr>
          <w:cantSplit/>
          <w:tblHeader/>
          <w:jc w:val="center"/>
        </w:trPr>
        <w:tc>
          <w:tcPr>
            <w:tcW w:w="1008" w:type="dxa"/>
            <w:shd w:val="clear" w:color="auto" w:fill="E7E6E6"/>
            <w:tcMar>
              <w:top w:w="85" w:type="dxa"/>
              <w:left w:w="85" w:type="dxa"/>
              <w:bottom w:w="85" w:type="dxa"/>
              <w:right w:w="85" w:type="dxa"/>
            </w:tcMar>
            <w:vAlign w:val="center"/>
          </w:tcPr>
          <w:p w14:paraId="639C1013" w14:textId="77777777" w:rsidR="00313C50" w:rsidRDefault="00000000">
            <w:pPr>
              <w:spacing w:before="40" w:after="40" w:line="240" w:lineRule="auto"/>
            </w:pPr>
            <w:r>
              <w:rPr>
                <w:b/>
                <w:sz w:val="20"/>
              </w:rPr>
              <w:t>Record</w:t>
            </w:r>
          </w:p>
        </w:tc>
        <w:tc>
          <w:tcPr>
            <w:tcW w:w="4752" w:type="dxa"/>
            <w:shd w:val="clear" w:color="auto" w:fill="E7E6E6"/>
            <w:tcMar>
              <w:top w:w="85" w:type="dxa"/>
              <w:left w:w="85" w:type="dxa"/>
              <w:bottom w:w="85" w:type="dxa"/>
              <w:right w:w="85" w:type="dxa"/>
            </w:tcMar>
            <w:vAlign w:val="center"/>
          </w:tcPr>
          <w:p w14:paraId="752197F1" w14:textId="77777777" w:rsidR="00313C50" w:rsidRDefault="00000000">
            <w:pPr>
              <w:spacing w:before="40" w:after="40" w:line="240" w:lineRule="auto"/>
            </w:pPr>
            <w:r>
              <w:rPr>
                <w:b/>
                <w:sz w:val="20"/>
              </w:rPr>
              <w:t>Source identity and locator</w:t>
            </w:r>
          </w:p>
        </w:tc>
        <w:tc>
          <w:tcPr>
            <w:tcW w:w="4104" w:type="dxa"/>
            <w:shd w:val="clear" w:color="auto" w:fill="E7E6E6"/>
            <w:tcMar>
              <w:top w:w="85" w:type="dxa"/>
              <w:left w:w="85" w:type="dxa"/>
              <w:bottom w:w="85" w:type="dxa"/>
              <w:right w:w="85" w:type="dxa"/>
            </w:tcMar>
            <w:vAlign w:val="center"/>
          </w:tcPr>
          <w:p w14:paraId="24CF0019" w14:textId="77777777" w:rsidR="00313C50" w:rsidRDefault="00000000">
            <w:pPr>
              <w:spacing w:before="40" w:after="40" w:line="240" w:lineRule="auto"/>
            </w:pPr>
            <w:r>
              <w:rPr>
                <w:b/>
                <w:sz w:val="20"/>
              </w:rPr>
              <w:t>Extracted observation</w:t>
            </w:r>
          </w:p>
        </w:tc>
        <w:tc>
          <w:tcPr>
            <w:tcW w:w="4104" w:type="dxa"/>
            <w:shd w:val="clear" w:color="auto" w:fill="E7E6E6"/>
            <w:tcMar>
              <w:top w:w="85" w:type="dxa"/>
              <w:left w:w="85" w:type="dxa"/>
              <w:bottom w:w="85" w:type="dxa"/>
              <w:right w:w="85" w:type="dxa"/>
            </w:tcMar>
            <w:vAlign w:val="center"/>
          </w:tcPr>
          <w:p w14:paraId="34438930" w14:textId="77777777" w:rsidR="00313C50" w:rsidRDefault="00000000">
            <w:pPr>
              <w:spacing w:before="40" w:after="40" w:line="240" w:lineRule="auto"/>
            </w:pPr>
            <w:r>
              <w:rPr>
                <w:b/>
                <w:sz w:val="20"/>
              </w:rPr>
              <w:t>Analytical use and limit</w:t>
            </w:r>
          </w:p>
        </w:tc>
      </w:tr>
      <w:tr w:rsidR="00313C50" w14:paraId="2ED0B2EA" w14:textId="77777777">
        <w:trPr>
          <w:cantSplit/>
          <w:jc w:val="center"/>
        </w:trPr>
        <w:tc>
          <w:tcPr>
            <w:tcW w:w="1008" w:type="dxa"/>
            <w:tcMar>
              <w:top w:w="85" w:type="dxa"/>
              <w:left w:w="85" w:type="dxa"/>
              <w:bottom w:w="85" w:type="dxa"/>
              <w:right w:w="85" w:type="dxa"/>
            </w:tcMar>
            <w:vAlign w:val="center"/>
          </w:tcPr>
          <w:p w14:paraId="051EFD23" w14:textId="77777777" w:rsidR="00313C50" w:rsidRDefault="00000000">
            <w:pPr>
              <w:spacing w:before="40" w:after="40" w:line="240" w:lineRule="auto"/>
            </w:pPr>
            <w:r>
              <w:rPr>
                <w:sz w:val="20"/>
              </w:rPr>
              <w:t>JP01</w:t>
            </w:r>
            <w:r>
              <w:rPr>
                <w:sz w:val="20"/>
              </w:rPr>
              <w:br/>
              <w:t>[10]</w:t>
            </w:r>
          </w:p>
        </w:tc>
        <w:tc>
          <w:tcPr>
            <w:tcW w:w="4752" w:type="dxa"/>
            <w:tcMar>
              <w:top w:w="85" w:type="dxa"/>
              <w:left w:w="85" w:type="dxa"/>
              <w:bottom w:w="85" w:type="dxa"/>
              <w:right w:w="85" w:type="dxa"/>
            </w:tcMar>
            <w:vAlign w:val="center"/>
          </w:tcPr>
          <w:p w14:paraId="10E1CDA2" w14:textId="77777777" w:rsidR="00313C50" w:rsidRDefault="00000000">
            <w:pPr>
              <w:spacing w:before="40" w:after="40" w:line="240" w:lineRule="auto"/>
            </w:pPr>
            <w:r>
              <w:rPr>
                <w:sz w:val="20"/>
              </w:rPr>
              <w:t>Ministry of Foreign Affairs of Japan. For those who would like to apply for the Visa for Medical Stay. 20 September 2019.</w:t>
            </w:r>
            <w:r>
              <w:rPr>
                <w:sz w:val="20"/>
              </w:rPr>
              <w:br/>
              <w:t>English; administrative guidance, 2019</w:t>
            </w:r>
            <w:r>
              <w:rPr>
                <w:sz w:val="20"/>
              </w:rPr>
              <w:br/>
              <w:t>Locator: Sections 1 and 2 on visa scope, treatment plans and guarantors</w:t>
            </w:r>
          </w:p>
          <w:p w14:paraId="419A6FE1" w14:textId="77777777" w:rsidR="00313C50" w:rsidRDefault="00000000">
            <w:pPr>
              <w:spacing w:after="40" w:line="240" w:lineRule="auto"/>
            </w:pPr>
            <w:hyperlink r:id="rId8">
              <w:r>
                <w:rPr>
                  <w:sz w:val="20"/>
                </w:rPr>
                <w:t>Open source</w:t>
              </w:r>
            </w:hyperlink>
          </w:p>
        </w:tc>
        <w:tc>
          <w:tcPr>
            <w:tcW w:w="4104" w:type="dxa"/>
            <w:tcMar>
              <w:top w:w="85" w:type="dxa"/>
              <w:left w:w="85" w:type="dxa"/>
              <w:bottom w:w="85" w:type="dxa"/>
              <w:right w:w="85" w:type="dxa"/>
            </w:tcMar>
            <w:vAlign w:val="center"/>
          </w:tcPr>
          <w:p w14:paraId="5CC2F523" w14:textId="77777777" w:rsidR="00313C50" w:rsidRDefault="00000000">
            <w:pPr>
              <w:spacing w:before="40" w:after="40" w:line="240" w:lineRule="auto"/>
            </w:pPr>
            <w:r>
              <w:rPr>
                <w:sz w:val="20"/>
              </w:rPr>
              <w:t>Foreign affairs authority, guarantors and receiving institutions link visa documentation to planned care.</w:t>
            </w:r>
          </w:p>
        </w:tc>
        <w:tc>
          <w:tcPr>
            <w:tcW w:w="4104" w:type="dxa"/>
            <w:tcMar>
              <w:top w:w="85" w:type="dxa"/>
              <w:left w:w="85" w:type="dxa"/>
              <w:bottom w:w="85" w:type="dxa"/>
              <w:right w:w="85" w:type="dxa"/>
            </w:tcMar>
            <w:vAlign w:val="center"/>
          </w:tcPr>
          <w:p w14:paraId="3E4316DB" w14:textId="77777777" w:rsidR="00313C50" w:rsidRDefault="00000000">
            <w:pPr>
              <w:spacing w:before="40" w:after="40" w:line="240" w:lineRule="auto"/>
            </w:pPr>
            <w:r>
              <w:rPr>
                <w:sz w:val="20"/>
              </w:rPr>
              <w:t>Entry/referral; stated administrative process. Does not measure care quality or compensation.</w:t>
            </w:r>
          </w:p>
        </w:tc>
      </w:tr>
      <w:tr w:rsidR="00313C50" w14:paraId="211FC6D3" w14:textId="77777777">
        <w:trPr>
          <w:cantSplit/>
          <w:jc w:val="center"/>
        </w:trPr>
        <w:tc>
          <w:tcPr>
            <w:tcW w:w="1008" w:type="dxa"/>
            <w:tcMar>
              <w:top w:w="85" w:type="dxa"/>
              <w:left w:w="85" w:type="dxa"/>
              <w:bottom w:w="85" w:type="dxa"/>
              <w:right w:w="85" w:type="dxa"/>
            </w:tcMar>
            <w:vAlign w:val="center"/>
          </w:tcPr>
          <w:p w14:paraId="176C8F4E" w14:textId="77777777" w:rsidR="00313C50" w:rsidRDefault="00000000">
            <w:pPr>
              <w:spacing w:before="40" w:after="40" w:line="240" w:lineRule="auto"/>
            </w:pPr>
            <w:r>
              <w:rPr>
                <w:sz w:val="20"/>
              </w:rPr>
              <w:t>JP02</w:t>
            </w:r>
            <w:r>
              <w:rPr>
                <w:sz w:val="20"/>
              </w:rPr>
              <w:br/>
              <w:t>[11]</w:t>
            </w:r>
          </w:p>
        </w:tc>
        <w:tc>
          <w:tcPr>
            <w:tcW w:w="4752" w:type="dxa"/>
            <w:tcMar>
              <w:top w:w="85" w:type="dxa"/>
              <w:left w:w="85" w:type="dxa"/>
              <w:bottom w:w="85" w:type="dxa"/>
              <w:right w:w="85" w:type="dxa"/>
            </w:tcMar>
            <w:vAlign w:val="center"/>
          </w:tcPr>
          <w:p w14:paraId="3AC26413" w14:textId="77777777" w:rsidR="00313C50" w:rsidRDefault="00000000">
            <w:pPr>
              <w:spacing w:before="40" w:after="40" w:line="240" w:lineRule="auto"/>
            </w:pPr>
            <w:r>
              <w:rPr>
                <w:sz w:val="20"/>
              </w:rPr>
              <w:t>Japan Medical Education Foundation. About Japan Medical Service Accreditation for International Patients. Undated. Japanese.</w:t>
            </w:r>
            <w:r>
              <w:rPr>
                <w:sz w:val="20"/>
              </w:rPr>
              <w:br/>
              <w:t>Japanese; institutional programme description, undated</w:t>
            </w:r>
            <w:r>
              <w:rPr>
                <w:sz w:val="20"/>
              </w:rPr>
              <w:br/>
              <w:t>Locator: About JMIP; accreditation scope and certifying organization</w:t>
            </w:r>
          </w:p>
          <w:p w14:paraId="4E860458" w14:textId="77777777" w:rsidR="00313C50" w:rsidRDefault="00000000">
            <w:pPr>
              <w:spacing w:after="40" w:line="240" w:lineRule="auto"/>
            </w:pPr>
            <w:hyperlink r:id="rId9">
              <w:r>
                <w:rPr>
                  <w:sz w:val="20"/>
                </w:rPr>
                <w:t>Open source</w:t>
              </w:r>
            </w:hyperlink>
          </w:p>
        </w:tc>
        <w:tc>
          <w:tcPr>
            <w:tcW w:w="4104" w:type="dxa"/>
            <w:tcMar>
              <w:top w:w="85" w:type="dxa"/>
              <w:left w:w="85" w:type="dxa"/>
              <w:bottom w:w="85" w:type="dxa"/>
              <w:right w:w="85" w:type="dxa"/>
            </w:tcMar>
            <w:vAlign w:val="center"/>
          </w:tcPr>
          <w:p w14:paraId="06617CD6" w14:textId="77777777" w:rsidR="00313C50" w:rsidRDefault="00000000">
            <w:pPr>
              <w:spacing w:before="40" w:after="40" w:line="240" w:lineRule="auto"/>
            </w:pPr>
            <w:r>
              <w:rPr>
                <w:sz w:val="20"/>
              </w:rPr>
              <w:t>Japan Medical Education Foundation describes assessment of reception systems for foreign patients.</w:t>
            </w:r>
          </w:p>
        </w:tc>
        <w:tc>
          <w:tcPr>
            <w:tcW w:w="4104" w:type="dxa"/>
            <w:tcMar>
              <w:top w:w="85" w:type="dxa"/>
              <w:left w:w="85" w:type="dxa"/>
              <w:bottom w:w="85" w:type="dxa"/>
              <w:right w:w="85" w:type="dxa"/>
            </w:tcMar>
            <w:vAlign w:val="center"/>
          </w:tcPr>
          <w:p w14:paraId="64FEE18D" w14:textId="77777777" w:rsidR="00313C50" w:rsidRDefault="00000000">
            <w:pPr>
              <w:spacing w:before="40" w:after="40" w:line="240" w:lineRule="auto"/>
            </w:pPr>
            <w:r>
              <w:rPr>
                <w:sz w:val="20"/>
              </w:rPr>
              <w:t>Assessment/consent; scope includes resident foreigners. No inference about national inbound volumes.</w:t>
            </w:r>
          </w:p>
        </w:tc>
      </w:tr>
      <w:tr w:rsidR="00313C50" w14:paraId="44C0E03C" w14:textId="77777777">
        <w:trPr>
          <w:cantSplit/>
          <w:jc w:val="center"/>
        </w:trPr>
        <w:tc>
          <w:tcPr>
            <w:tcW w:w="1008" w:type="dxa"/>
            <w:tcMar>
              <w:top w:w="85" w:type="dxa"/>
              <w:left w:w="85" w:type="dxa"/>
              <w:bottom w:w="85" w:type="dxa"/>
              <w:right w:w="85" w:type="dxa"/>
            </w:tcMar>
            <w:vAlign w:val="center"/>
          </w:tcPr>
          <w:p w14:paraId="5B1B5601" w14:textId="77777777" w:rsidR="00313C50" w:rsidRDefault="00000000">
            <w:pPr>
              <w:spacing w:before="40" w:after="40" w:line="240" w:lineRule="auto"/>
            </w:pPr>
            <w:r>
              <w:rPr>
                <w:sz w:val="20"/>
              </w:rPr>
              <w:t>JP03</w:t>
            </w:r>
            <w:r>
              <w:rPr>
                <w:sz w:val="20"/>
              </w:rPr>
              <w:br/>
              <w:t>[25]</w:t>
            </w:r>
          </w:p>
        </w:tc>
        <w:tc>
          <w:tcPr>
            <w:tcW w:w="4752" w:type="dxa"/>
            <w:tcMar>
              <w:top w:w="85" w:type="dxa"/>
              <w:left w:w="85" w:type="dxa"/>
              <w:bottom w:w="85" w:type="dxa"/>
              <w:right w:w="85" w:type="dxa"/>
            </w:tcMar>
            <w:vAlign w:val="center"/>
          </w:tcPr>
          <w:p w14:paraId="42BF5DE6" w14:textId="77777777" w:rsidR="00313C50" w:rsidRDefault="00000000">
            <w:pPr>
              <w:spacing w:before="40" w:after="40" w:line="240" w:lineRule="auto"/>
            </w:pPr>
            <w:r>
              <w:rPr>
                <w:sz w:val="20"/>
              </w:rPr>
              <w:t>Japan Medical Education Foundation. Information for institutions seeking accreditation. Undated. Japanese.</w:t>
            </w:r>
            <w:r>
              <w:rPr>
                <w:sz w:val="20"/>
              </w:rPr>
              <w:br/>
              <w:t>Japanese; accreditation procedure, undated</w:t>
            </w:r>
            <w:r>
              <w:rPr>
                <w:sz w:val="20"/>
              </w:rPr>
              <w:br/>
              <w:t>Locator: Document review and site-visit sections</w:t>
            </w:r>
          </w:p>
          <w:p w14:paraId="42820BDC" w14:textId="77777777" w:rsidR="00313C50" w:rsidRDefault="00000000">
            <w:pPr>
              <w:spacing w:after="40" w:line="240" w:lineRule="auto"/>
            </w:pPr>
            <w:hyperlink r:id="rId10">
              <w:r>
                <w:rPr>
                  <w:sz w:val="20"/>
                </w:rPr>
                <w:t>Open source</w:t>
              </w:r>
            </w:hyperlink>
          </w:p>
        </w:tc>
        <w:tc>
          <w:tcPr>
            <w:tcW w:w="4104" w:type="dxa"/>
            <w:tcMar>
              <w:top w:w="85" w:type="dxa"/>
              <w:left w:w="85" w:type="dxa"/>
              <w:bottom w:w="85" w:type="dxa"/>
              <w:right w:w="85" w:type="dxa"/>
            </w:tcMar>
            <w:vAlign w:val="center"/>
          </w:tcPr>
          <w:p w14:paraId="120DBF75" w14:textId="77777777" w:rsidR="00313C50" w:rsidRDefault="00000000">
            <w:pPr>
              <w:spacing w:before="40" w:after="40" w:line="240" w:lineRule="auto"/>
            </w:pPr>
            <w:r>
              <w:rPr>
                <w:sz w:val="20"/>
              </w:rPr>
              <w:t>Applicants submit reception and consent documents; assessors review records and visit institutions.</w:t>
            </w:r>
          </w:p>
        </w:tc>
        <w:tc>
          <w:tcPr>
            <w:tcW w:w="4104" w:type="dxa"/>
            <w:tcMar>
              <w:top w:w="85" w:type="dxa"/>
              <w:left w:w="85" w:type="dxa"/>
              <w:bottom w:w="85" w:type="dxa"/>
              <w:right w:w="85" w:type="dxa"/>
            </w:tcMar>
            <w:vAlign w:val="center"/>
          </w:tcPr>
          <w:p w14:paraId="34769863" w14:textId="77777777" w:rsidR="00313C50" w:rsidRDefault="00000000">
            <w:pPr>
              <w:spacing w:before="40" w:after="40" w:line="240" w:lineRule="auto"/>
            </w:pPr>
            <w:r>
              <w:rPr>
                <w:sz w:val="20"/>
              </w:rPr>
              <w:t>Assessment/consent; describes the procedure, not compliance at every institution.</w:t>
            </w:r>
          </w:p>
        </w:tc>
      </w:tr>
      <w:tr w:rsidR="00313C50" w14:paraId="25D73BD7" w14:textId="77777777">
        <w:trPr>
          <w:cantSplit/>
          <w:jc w:val="center"/>
        </w:trPr>
        <w:tc>
          <w:tcPr>
            <w:tcW w:w="1008" w:type="dxa"/>
            <w:tcMar>
              <w:top w:w="85" w:type="dxa"/>
              <w:left w:w="85" w:type="dxa"/>
              <w:bottom w:w="85" w:type="dxa"/>
              <w:right w:w="85" w:type="dxa"/>
            </w:tcMar>
            <w:vAlign w:val="center"/>
          </w:tcPr>
          <w:p w14:paraId="36674892" w14:textId="77777777" w:rsidR="00313C50" w:rsidRDefault="00000000">
            <w:pPr>
              <w:spacing w:before="40" w:after="40" w:line="240" w:lineRule="auto"/>
            </w:pPr>
            <w:r>
              <w:rPr>
                <w:sz w:val="20"/>
              </w:rPr>
              <w:t>JP04</w:t>
            </w:r>
            <w:r>
              <w:rPr>
                <w:sz w:val="20"/>
              </w:rPr>
              <w:br/>
              <w:t>[12]</w:t>
            </w:r>
          </w:p>
        </w:tc>
        <w:tc>
          <w:tcPr>
            <w:tcW w:w="4752" w:type="dxa"/>
            <w:tcMar>
              <w:top w:w="85" w:type="dxa"/>
              <w:left w:w="85" w:type="dxa"/>
              <w:bottom w:w="85" w:type="dxa"/>
              <w:right w:w="85" w:type="dxa"/>
            </w:tcMar>
            <w:vAlign w:val="center"/>
          </w:tcPr>
          <w:p w14:paraId="3357DCA9" w14:textId="77777777" w:rsidR="00313C50" w:rsidRDefault="00000000">
            <w:pPr>
              <w:spacing w:before="40" w:after="40" w:line="240" w:lineRule="auto"/>
            </w:pPr>
            <w:r>
              <w:rPr>
                <w:sz w:val="20"/>
              </w:rPr>
              <w:t>Medical Excellence JAPAN. International patients guide. Undated.</w:t>
            </w:r>
            <w:r>
              <w:rPr>
                <w:sz w:val="20"/>
              </w:rPr>
              <w:br/>
              <w:t>English; institutional patient guidance, undated</w:t>
            </w:r>
            <w:r>
              <w:rPr>
                <w:sz w:val="20"/>
              </w:rPr>
              <w:br/>
              <w:t>Locator: Japan International Hospitals; payment; medical travel assistance</w:t>
            </w:r>
          </w:p>
          <w:p w14:paraId="4CB90E25" w14:textId="77777777" w:rsidR="00313C50" w:rsidRDefault="00000000">
            <w:pPr>
              <w:spacing w:after="40" w:line="240" w:lineRule="auto"/>
            </w:pPr>
            <w:hyperlink r:id="rId11">
              <w:r>
                <w:rPr>
                  <w:sz w:val="20"/>
                </w:rPr>
                <w:t>Open source</w:t>
              </w:r>
            </w:hyperlink>
          </w:p>
        </w:tc>
        <w:tc>
          <w:tcPr>
            <w:tcW w:w="4104" w:type="dxa"/>
            <w:tcMar>
              <w:top w:w="85" w:type="dxa"/>
              <w:left w:w="85" w:type="dxa"/>
              <w:bottom w:w="85" w:type="dxa"/>
              <w:right w:w="85" w:type="dxa"/>
            </w:tcMar>
            <w:vAlign w:val="center"/>
          </w:tcPr>
          <w:p w14:paraId="7260779B" w14:textId="77777777" w:rsidR="00313C50" w:rsidRDefault="00000000">
            <w:pPr>
              <w:spacing w:before="40" w:after="40" w:line="240" w:lineRule="auto"/>
            </w:pPr>
            <w:r>
              <w:rPr>
                <w:sz w:val="20"/>
              </w:rPr>
              <w:t>MEJ describes recommended hospitals, cost estimates and coordination through assistance companies.</w:t>
            </w:r>
          </w:p>
        </w:tc>
        <w:tc>
          <w:tcPr>
            <w:tcW w:w="4104" w:type="dxa"/>
            <w:tcMar>
              <w:top w:w="85" w:type="dxa"/>
              <w:left w:w="85" w:type="dxa"/>
              <w:bottom w:w="85" w:type="dxa"/>
              <w:right w:w="85" w:type="dxa"/>
            </w:tcMar>
            <w:vAlign w:val="center"/>
          </w:tcPr>
          <w:p w14:paraId="79D97129" w14:textId="77777777" w:rsidR="00313C50" w:rsidRDefault="00000000">
            <w:pPr>
              <w:spacing w:before="40" w:after="40" w:line="240" w:lineRule="auto"/>
            </w:pPr>
            <w:r>
              <w:rPr>
                <w:sz w:val="20"/>
              </w:rPr>
              <w:t>Search/payment; distinguish recommendation, reception accreditation and visa guarantees.</w:t>
            </w:r>
          </w:p>
        </w:tc>
      </w:tr>
      <w:tr w:rsidR="00313C50" w14:paraId="727813AC" w14:textId="77777777">
        <w:trPr>
          <w:cantSplit/>
          <w:jc w:val="center"/>
        </w:trPr>
        <w:tc>
          <w:tcPr>
            <w:tcW w:w="1008" w:type="dxa"/>
            <w:tcMar>
              <w:top w:w="85" w:type="dxa"/>
              <w:left w:w="85" w:type="dxa"/>
              <w:bottom w:w="85" w:type="dxa"/>
              <w:right w:w="85" w:type="dxa"/>
            </w:tcMar>
            <w:vAlign w:val="center"/>
          </w:tcPr>
          <w:p w14:paraId="4D1F6A04" w14:textId="77777777" w:rsidR="00313C50" w:rsidRDefault="00000000">
            <w:pPr>
              <w:spacing w:before="40" w:after="40" w:line="240" w:lineRule="auto"/>
            </w:pPr>
            <w:r>
              <w:rPr>
                <w:sz w:val="20"/>
              </w:rPr>
              <w:lastRenderedPageBreak/>
              <w:t>KR01</w:t>
            </w:r>
            <w:r>
              <w:rPr>
                <w:sz w:val="20"/>
              </w:rPr>
              <w:br/>
              <w:t>[13]</w:t>
            </w:r>
          </w:p>
        </w:tc>
        <w:tc>
          <w:tcPr>
            <w:tcW w:w="4752" w:type="dxa"/>
            <w:tcMar>
              <w:top w:w="85" w:type="dxa"/>
              <w:left w:w="85" w:type="dxa"/>
              <w:bottom w:w="85" w:type="dxa"/>
              <w:right w:w="85" w:type="dxa"/>
            </w:tcMar>
            <w:vAlign w:val="center"/>
          </w:tcPr>
          <w:p w14:paraId="4932FD29" w14:textId="77777777" w:rsidR="00313C50" w:rsidRDefault="00000000">
            <w:pPr>
              <w:spacing w:before="40" w:after="40" w:line="240" w:lineRule="auto"/>
            </w:pPr>
            <w:r>
              <w:rPr>
                <w:sz w:val="20"/>
              </w:rPr>
              <w:t>Korea Health Industry Development Institute. Medical Korea registration system. Undated.</w:t>
            </w:r>
            <w:r>
              <w:rPr>
                <w:sz w:val="20"/>
              </w:rPr>
              <w:br/>
              <w:t>English; official programme guidance, undated</w:t>
            </w:r>
            <w:r>
              <w:rPr>
                <w:sz w:val="20"/>
              </w:rPr>
              <w:br/>
              <w:t>Locator: Registration system for medical institutions</w:t>
            </w:r>
          </w:p>
          <w:p w14:paraId="4426E257" w14:textId="77777777" w:rsidR="00313C50" w:rsidRDefault="00000000">
            <w:pPr>
              <w:spacing w:after="40" w:line="240" w:lineRule="auto"/>
            </w:pPr>
            <w:hyperlink r:id="rId12">
              <w:r>
                <w:rPr>
                  <w:sz w:val="20"/>
                </w:rPr>
                <w:t>Open source</w:t>
              </w:r>
            </w:hyperlink>
          </w:p>
        </w:tc>
        <w:tc>
          <w:tcPr>
            <w:tcW w:w="4104" w:type="dxa"/>
            <w:tcMar>
              <w:top w:w="85" w:type="dxa"/>
              <w:left w:w="85" w:type="dxa"/>
              <w:bottom w:w="85" w:type="dxa"/>
              <w:right w:w="85" w:type="dxa"/>
            </w:tcMar>
            <w:vAlign w:val="center"/>
          </w:tcPr>
          <w:p w14:paraId="22C5F248" w14:textId="77777777" w:rsidR="00313C50" w:rsidRDefault="00000000">
            <w:pPr>
              <w:spacing w:before="40" w:after="40" w:line="240" w:lineRule="auto"/>
            </w:pPr>
            <w:r>
              <w:rPr>
                <w:sz w:val="20"/>
              </w:rPr>
              <w:t>Participating medical institutions are described as subject to liability-insurance requirements from 2016.</w:t>
            </w:r>
          </w:p>
        </w:tc>
        <w:tc>
          <w:tcPr>
            <w:tcW w:w="4104" w:type="dxa"/>
            <w:tcMar>
              <w:top w:w="85" w:type="dxa"/>
              <w:left w:w="85" w:type="dxa"/>
              <w:bottom w:w="85" w:type="dxa"/>
              <w:right w:w="85" w:type="dxa"/>
            </w:tcMar>
            <w:vAlign w:val="center"/>
          </w:tcPr>
          <w:p w14:paraId="1EEC835C" w14:textId="77777777" w:rsidR="00313C50" w:rsidRDefault="00000000">
            <w:pPr>
              <w:spacing w:before="40" w:after="40" w:line="240" w:lineRule="auto"/>
            </w:pPr>
            <w:r>
              <w:rPr>
                <w:sz w:val="20"/>
              </w:rPr>
              <w:t>Clinical liability; does not describe an individual patient’s health benefits or claim outcome.</w:t>
            </w:r>
          </w:p>
        </w:tc>
      </w:tr>
      <w:tr w:rsidR="00313C50" w14:paraId="1D98709D" w14:textId="77777777">
        <w:trPr>
          <w:cantSplit/>
          <w:jc w:val="center"/>
        </w:trPr>
        <w:tc>
          <w:tcPr>
            <w:tcW w:w="1008" w:type="dxa"/>
            <w:tcMar>
              <w:top w:w="85" w:type="dxa"/>
              <w:left w:w="85" w:type="dxa"/>
              <w:bottom w:w="85" w:type="dxa"/>
              <w:right w:w="85" w:type="dxa"/>
            </w:tcMar>
            <w:vAlign w:val="center"/>
          </w:tcPr>
          <w:p w14:paraId="0397909E" w14:textId="77777777" w:rsidR="00313C50" w:rsidRDefault="00000000">
            <w:pPr>
              <w:spacing w:before="40" w:after="40" w:line="240" w:lineRule="auto"/>
            </w:pPr>
            <w:r>
              <w:rPr>
                <w:sz w:val="20"/>
              </w:rPr>
              <w:t>KR02</w:t>
            </w:r>
            <w:r>
              <w:rPr>
                <w:sz w:val="20"/>
              </w:rPr>
              <w:br/>
              <w:t>[26]</w:t>
            </w:r>
          </w:p>
        </w:tc>
        <w:tc>
          <w:tcPr>
            <w:tcW w:w="4752" w:type="dxa"/>
            <w:tcMar>
              <w:top w:w="85" w:type="dxa"/>
              <w:left w:w="85" w:type="dxa"/>
              <w:bottom w:w="85" w:type="dxa"/>
              <w:right w:w="85" w:type="dxa"/>
            </w:tcMar>
            <w:vAlign w:val="center"/>
          </w:tcPr>
          <w:p w14:paraId="6893BCDC" w14:textId="77777777" w:rsidR="00313C50" w:rsidRDefault="00000000">
            <w:pPr>
              <w:spacing w:before="40" w:after="40" w:line="240" w:lineRule="auto"/>
            </w:pPr>
            <w:r>
              <w:rPr>
                <w:sz w:val="20"/>
              </w:rPr>
              <w:t>Korea Health Industry Development Institute. Report centre for illegal attraction of foreign patients and related legal provisions. Undated. English version.</w:t>
            </w:r>
            <w:r>
              <w:rPr>
                <w:sz w:val="20"/>
              </w:rPr>
              <w:br/>
              <w:t>English; official programme legal extracts, undated</w:t>
            </w:r>
            <w:r>
              <w:rPr>
                <w:sz w:val="20"/>
              </w:rPr>
              <w:br/>
              <w:t>Locator: Articles 2, 6, 9, 15 and 22 in the published extracts</w:t>
            </w:r>
          </w:p>
          <w:p w14:paraId="06C13E5C" w14:textId="77777777" w:rsidR="00313C50" w:rsidRDefault="00000000">
            <w:pPr>
              <w:spacing w:after="40" w:line="240" w:lineRule="auto"/>
            </w:pPr>
            <w:hyperlink r:id="rId13">
              <w:r>
                <w:rPr>
                  <w:sz w:val="20"/>
                </w:rPr>
                <w:t>Open source</w:t>
              </w:r>
            </w:hyperlink>
          </w:p>
        </w:tc>
        <w:tc>
          <w:tcPr>
            <w:tcW w:w="4104" w:type="dxa"/>
            <w:tcMar>
              <w:top w:w="85" w:type="dxa"/>
              <w:left w:w="85" w:type="dxa"/>
              <w:bottom w:w="85" w:type="dxa"/>
              <w:right w:w="85" w:type="dxa"/>
            </w:tcMar>
            <w:vAlign w:val="center"/>
          </w:tcPr>
          <w:p w14:paraId="3E81FB41" w14:textId="77777777" w:rsidR="00313C50" w:rsidRDefault="00000000">
            <w:pPr>
              <w:spacing w:before="40" w:after="40" w:line="240" w:lineRule="auto"/>
            </w:pPr>
            <w:r>
              <w:rPr>
                <w:sz w:val="20"/>
              </w:rPr>
              <w:t>Separate registration for institutions and attraction agencies; rules address commissions, misleading information and corrective action.</w:t>
            </w:r>
          </w:p>
        </w:tc>
        <w:tc>
          <w:tcPr>
            <w:tcW w:w="4104" w:type="dxa"/>
            <w:tcMar>
              <w:top w:w="85" w:type="dxa"/>
              <w:left w:w="85" w:type="dxa"/>
              <w:bottom w:w="85" w:type="dxa"/>
              <w:right w:w="85" w:type="dxa"/>
            </w:tcMar>
            <w:vAlign w:val="center"/>
          </w:tcPr>
          <w:p w14:paraId="1B90D06C" w14:textId="77777777" w:rsidR="00313C50" w:rsidRDefault="00000000">
            <w:pPr>
              <w:spacing w:before="40" w:after="40" w:line="240" w:lineRule="auto"/>
            </w:pPr>
            <w:r>
              <w:rPr>
                <w:sz w:val="20"/>
              </w:rPr>
              <w:t>Referral/complaints; programme extracts are not a complete consolidated legal review.</w:t>
            </w:r>
          </w:p>
        </w:tc>
      </w:tr>
      <w:tr w:rsidR="00313C50" w14:paraId="1A7F67E6" w14:textId="77777777">
        <w:trPr>
          <w:cantSplit/>
          <w:jc w:val="center"/>
        </w:trPr>
        <w:tc>
          <w:tcPr>
            <w:tcW w:w="1008" w:type="dxa"/>
            <w:tcMar>
              <w:top w:w="85" w:type="dxa"/>
              <w:left w:w="85" w:type="dxa"/>
              <w:bottom w:w="85" w:type="dxa"/>
              <w:right w:w="85" w:type="dxa"/>
            </w:tcMar>
            <w:vAlign w:val="center"/>
          </w:tcPr>
          <w:p w14:paraId="7C250568" w14:textId="77777777" w:rsidR="00313C50" w:rsidRDefault="00000000">
            <w:pPr>
              <w:spacing w:before="40" w:after="40" w:line="240" w:lineRule="auto"/>
            </w:pPr>
            <w:r>
              <w:rPr>
                <w:sz w:val="20"/>
              </w:rPr>
              <w:t>KR03</w:t>
            </w:r>
            <w:r>
              <w:rPr>
                <w:sz w:val="20"/>
              </w:rPr>
              <w:br/>
              <w:t>[18]</w:t>
            </w:r>
          </w:p>
        </w:tc>
        <w:tc>
          <w:tcPr>
            <w:tcW w:w="4752" w:type="dxa"/>
            <w:tcMar>
              <w:top w:w="85" w:type="dxa"/>
              <w:left w:w="85" w:type="dxa"/>
              <w:bottom w:w="85" w:type="dxa"/>
              <w:right w:w="85" w:type="dxa"/>
            </w:tcMar>
            <w:vAlign w:val="center"/>
          </w:tcPr>
          <w:p w14:paraId="334D66D6" w14:textId="77777777" w:rsidR="00313C50" w:rsidRDefault="00000000">
            <w:pPr>
              <w:spacing w:before="40" w:after="40" w:line="240" w:lineRule="auto"/>
            </w:pPr>
            <w:r>
              <w:rPr>
                <w:sz w:val="20"/>
              </w:rPr>
              <w:t>Ministry of Health and Welfare, Republic of Korea. Foreign patient attraction reaches 1.17 million in 2024. 2 April 2025. Korean.</w:t>
            </w:r>
            <w:r>
              <w:rPr>
                <w:sz w:val="20"/>
              </w:rPr>
              <w:br/>
              <w:t>Korean; ministry statistical release, 2025</w:t>
            </w:r>
            <w:r>
              <w:rPr>
                <w:sz w:val="20"/>
              </w:rPr>
              <w:br/>
              <w:t>Locator: Opening results; specialty-count footnote</w:t>
            </w:r>
          </w:p>
          <w:p w14:paraId="3B6EE38E" w14:textId="77777777" w:rsidR="00313C50" w:rsidRDefault="00000000">
            <w:pPr>
              <w:spacing w:after="40" w:line="240" w:lineRule="auto"/>
            </w:pPr>
            <w:hyperlink r:id="rId14">
              <w:r>
                <w:rPr>
                  <w:sz w:val="20"/>
                </w:rPr>
                <w:t>Open source</w:t>
              </w:r>
            </w:hyperlink>
          </w:p>
        </w:tc>
        <w:tc>
          <w:tcPr>
            <w:tcW w:w="4104" w:type="dxa"/>
            <w:tcMar>
              <w:top w:w="85" w:type="dxa"/>
              <w:left w:w="85" w:type="dxa"/>
              <w:bottom w:w="85" w:type="dxa"/>
              <w:right w:w="85" w:type="dxa"/>
            </w:tcMar>
            <w:vAlign w:val="center"/>
          </w:tcPr>
          <w:p w14:paraId="281C80D3" w14:textId="77777777" w:rsidR="00313C50" w:rsidRDefault="00000000">
            <w:pPr>
              <w:spacing w:before="40" w:after="40" w:line="240" w:lineRule="auto"/>
            </w:pPr>
            <w:r>
              <w:rPr>
                <w:sz w:val="20"/>
              </w:rPr>
              <w:t>The ministry reports approximately 1.17 million foreign patients in 2024. Specialty counts may count a person in multiple departments.</w:t>
            </w:r>
          </w:p>
        </w:tc>
        <w:tc>
          <w:tcPr>
            <w:tcW w:w="4104" w:type="dxa"/>
            <w:tcMar>
              <w:top w:w="85" w:type="dxa"/>
              <w:left w:w="85" w:type="dxa"/>
              <w:bottom w:w="85" w:type="dxa"/>
              <w:right w:w="85" w:type="dxa"/>
            </w:tcMar>
            <w:vAlign w:val="center"/>
          </w:tcPr>
          <w:p w14:paraId="6886E801" w14:textId="77777777" w:rsidR="00313C50" w:rsidRDefault="00000000">
            <w:pPr>
              <w:spacing w:before="40" w:after="40" w:line="240" w:lineRule="auto"/>
            </w:pPr>
            <w:r>
              <w:rPr>
                <w:sz w:val="20"/>
              </w:rPr>
              <w:t>Reported activity; retain the distinction between overall and specialty denominators.</w:t>
            </w:r>
          </w:p>
        </w:tc>
      </w:tr>
      <w:tr w:rsidR="00313C50" w14:paraId="7F38D6BB" w14:textId="77777777">
        <w:trPr>
          <w:cantSplit/>
          <w:jc w:val="center"/>
        </w:trPr>
        <w:tc>
          <w:tcPr>
            <w:tcW w:w="1008" w:type="dxa"/>
            <w:tcMar>
              <w:top w:w="85" w:type="dxa"/>
              <w:left w:w="85" w:type="dxa"/>
              <w:bottom w:w="85" w:type="dxa"/>
              <w:right w:w="85" w:type="dxa"/>
            </w:tcMar>
            <w:vAlign w:val="center"/>
          </w:tcPr>
          <w:p w14:paraId="24C1ADDC" w14:textId="77777777" w:rsidR="00313C50" w:rsidRDefault="00000000">
            <w:pPr>
              <w:spacing w:before="40" w:after="40" w:line="240" w:lineRule="auto"/>
            </w:pPr>
            <w:r>
              <w:rPr>
                <w:sz w:val="20"/>
              </w:rPr>
              <w:t>KR04</w:t>
            </w:r>
            <w:r>
              <w:rPr>
                <w:sz w:val="20"/>
              </w:rPr>
              <w:br/>
              <w:t>[19]</w:t>
            </w:r>
          </w:p>
        </w:tc>
        <w:tc>
          <w:tcPr>
            <w:tcW w:w="4752" w:type="dxa"/>
            <w:tcMar>
              <w:top w:w="85" w:type="dxa"/>
              <w:left w:w="85" w:type="dxa"/>
              <w:bottom w:w="85" w:type="dxa"/>
              <w:right w:w="85" w:type="dxa"/>
            </w:tcMar>
            <w:vAlign w:val="center"/>
          </w:tcPr>
          <w:p w14:paraId="35379974" w14:textId="77777777" w:rsidR="00313C50" w:rsidRDefault="00000000">
            <w:pPr>
              <w:spacing w:before="40" w:after="40" w:line="240" w:lineRule="auto"/>
            </w:pPr>
            <w:r>
              <w:rPr>
                <w:sz w:val="20"/>
              </w:rPr>
              <w:t>Ministry of Health and Welfare, Republic of Korea. Foreign patient attraction exceeds 2 million in 2025. 24 April 2026. Korean.</w:t>
            </w:r>
            <w:r>
              <w:rPr>
                <w:sz w:val="20"/>
              </w:rPr>
              <w:br/>
              <w:t>Korean; ministry statistical release, 2026</w:t>
            </w:r>
            <w:r>
              <w:rPr>
                <w:sz w:val="20"/>
              </w:rPr>
              <w:br/>
              <w:t>Locator: Opening results; institution type; medical expenditure</w:t>
            </w:r>
          </w:p>
          <w:p w14:paraId="3106CA63" w14:textId="77777777" w:rsidR="00313C50" w:rsidRDefault="00000000">
            <w:pPr>
              <w:spacing w:after="40" w:line="240" w:lineRule="auto"/>
            </w:pPr>
            <w:hyperlink r:id="rId15">
              <w:r>
                <w:rPr>
                  <w:sz w:val="20"/>
                </w:rPr>
                <w:t>Open source</w:t>
              </w:r>
            </w:hyperlink>
          </w:p>
        </w:tc>
        <w:tc>
          <w:tcPr>
            <w:tcW w:w="4104" w:type="dxa"/>
            <w:tcMar>
              <w:top w:w="85" w:type="dxa"/>
              <w:left w:w="85" w:type="dxa"/>
              <w:bottom w:w="85" w:type="dxa"/>
              <w:right w:w="85" w:type="dxa"/>
            </w:tcMar>
            <w:vAlign w:val="center"/>
          </w:tcPr>
          <w:p w14:paraId="6C8F0A3C" w14:textId="77777777" w:rsidR="00313C50" w:rsidRDefault="00000000">
            <w:pPr>
              <w:spacing w:before="40" w:after="40" w:line="240" w:lineRule="auto"/>
            </w:pPr>
            <w:r>
              <w:rPr>
                <w:sz w:val="20"/>
              </w:rPr>
              <w:t>Reports 2.01 million patients and 2.72 million attendances in 2025; expenditure figures are attributed to an economic modelling exercise.</w:t>
            </w:r>
          </w:p>
        </w:tc>
        <w:tc>
          <w:tcPr>
            <w:tcW w:w="4104" w:type="dxa"/>
            <w:tcMar>
              <w:top w:w="85" w:type="dxa"/>
              <w:left w:w="85" w:type="dxa"/>
              <w:bottom w:w="85" w:type="dxa"/>
              <w:right w:w="85" w:type="dxa"/>
            </w:tcMar>
            <w:vAlign w:val="center"/>
          </w:tcPr>
          <w:p w14:paraId="46888A92" w14:textId="77777777" w:rsidR="00313C50" w:rsidRDefault="00000000">
            <w:pPr>
              <w:spacing w:before="40" w:after="40" w:line="240" w:lineRule="auto"/>
            </w:pPr>
            <w:r>
              <w:rPr>
                <w:sz w:val="20"/>
              </w:rPr>
              <w:t>Reported activity/context; medical spending differs from wider spending including companions. Bed occupancy is a narrow capacity indicator.</w:t>
            </w:r>
          </w:p>
        </w:tc>
      </w:tr>
      <w:tr w:rsidR="00313C50" w14:paraId="6C16DD8D" w14:textId="77777777">
        <w:trPr>
          <w:cantSplit/>
          <w:jc w:val="center"/>
        </w:trPr>
        <w:tc>
          <w:tcPr>
            <w:tcW w:w="1008" w:type="dxa"/>
            <w:tcMar>
              <w:top w:w="85" w:type="dxa"/>
              <w:left w:w="85" w:type="dxa"/>
              <w:bottom w:w="85" w:type="dxa"/>
              <w:right w:w="85" w:type="dxa"/>
            </w:tcMar>
            <w:vAlign w:val="center"/>
          </w:tcPr>
          <w:p w14:paraId="4292C004" w14:textId="77777777" w:rsidR="00313C50" w:rsidRDefault="00000000">
            <w:pPr>
              <w:spacing w:before="40" w:after="40" w:line="240" w:lineRule="auto"/>
            </w:pPr>
            <w:r>
              <w:rPr>
                <w:sz w:val="20"/>
              </w:rPr>
              <w:t>SG01</w:t>
            </w:r>
            <w:r>
              <w:rPr>
                <w:sz w:val="20"/>
              </w:rPr>
              <w:br/>
              <w:t>[14]</w:t>
            </w:r>
          </w:p>
        </w:tc>
        <w:tc>
          <w:tcPr>
            <w:tcW w:w="4752" w:type="dxa"/>
            <w:tcMar>
              <w:top w:w="85" w:type="dxa"/>
              <w:left w:w="85" w:type="dxa"/>
              <w:bottom w:w="85" w:type="dxa"/>
              <w:right w:w="85" w:type="dxa"/>
            </w:tcMar>
            <w:vAlign w:val="center"/>
          </w:tcPr>
          <w:p w14:paraId="12DD2B81" w14:textId="77777777" w:rsidR="00313C50" w:rsidRDefault="00000000">
            <w:pPr>
              <w:spacing w:before="40" w:after="40" w:line="240" w:lineRule="auto"/>
            </w:pPr>
            <w:r>
              <w:rPr>
                <w:sz w:val="20"/>
              </w:rPr>
              <w:t>Ministry of Health, Singapore. Foreign patients referred for medical treatment in public hospitals in Singapore. Parliamentary reply. 19 November 2018.</w:t>
            </w:r>
            <w:r>
              <w:rPr>
                <w:sz w:val="20"/>
              </w:rPr>
              <w:br/>
              <w:t>English; parliamentary reply, 2018</w:t>
            </w:r>
            <w:r>
              <w:rPr>
                <w:sz w:val="20"/>
              </w:rPr>
              <w:br/>
              <w:t>Locator: Written reply, paragraph 1</w:t>
            </w:r>
          </w:p>
          <w:p w14:paraId="49DAA35E" w14:textId="77777777" w:rsidR="00313C50" w:rsidRDefault="00000000">
            <w:pPr>
              <w:spacing w:after="40" w:line="240" w:lineRule="auto"/>
            </w:pPr>
            <w:hyperlink r:id="rId16">
              <w:r>
                <w:rPr>
                  <w:sz w:val="20"/>
                </w:rPr>
                <w:t>Open source</w:t>
              </w:r>
            </w:hyperlink>
          </w:p>
        </w:tc>
        <w:tc>
          <w:tcPr>
            <w:tcW w:w="4104" w:type="dxa"/>
            <w:tcMar>
              <w:top w:w="85" w:type="dxa"/>
              <w:left w:w="85" w:type="dxa"/>
              <w:bottom w:w="85" w:type="dxa"/>
              <w:right w:w="85" w:type="dxa"/>
            </w:tcMar>
            <w:vAlign w:val="center"/>
          </w:tcPr>
          <w:p w14:paraId="63BA2D21" w14:textId="77777777" w:rsidR="00313C50" w:rsidRDefault="00000000">
            <w:pPr>
              <w:spacing w:before="40" w:after="40" w:line="240" w:lineRule="auto"/>
            </w:pPr>
            <w:r>
              <w:rPr>
                <w:sz w:val="20"/>
              </w:rPr>
              <w:t>The health ministry states that public institutions may not actively market to foreign patients and reports ending referral-support contracts.</w:t>
            </w:r>
          </w:p>
        </w:tc>
        <w:tc>
          <w:tcPr>
            <w:tcW w:w="4104" w:type="dxa"/>
            <w:tcMar>
              <w:top w:w="85" w:type="dxa"/>
              <w:left w:w="85" w:type="dxa"/>
              <w:bottom w:w="85" w:type="dxa"/>
              <w:right w:w="85" w:type="dxa"/>
            </w:tcMar>
            <w:vAlign w:val="center"/>
          </w:tcPr>
          <w:p w14:paraId="78623EF9" w14:textId="77777777" w:rsidR="00313C50" w:rsidRDefault="00000000">
            <w:pPr>
              <w:spacing w:before="40" w:after="40" w:line="240" w:lineRule="auto"/>
            </w:pPr>
            <w:r>
              <w:rPr>
                <w:sz w:val="20"/>
              </w:rPr>
              <w:t>Public accountability; applies to public institutions, not all private activity.</w:t>
            </w:r>
          </w:p>
        </w:tc>
      </w:tr>
      <w:tr w:rsidR="00313C50" w14:paraId="04C0773D" w14:textId="77777777">
        <w:trPr>
          <w:cantSplit/>
          <w:jc w:val="center"/>
        </w:trPr>
        <w:tc>
          <w:tcPr>
            <w:tcW w:w="1008" w:type="dxa"/>
            <w:tcMar>
              <w:top w:w="85" w:type="dxa"/>
              <w:left w:w="85" w:type="dxa"/>
              <w:bottom w:w="85" w:type="dxa"/>
              <w:right w:w="85" w:type="dxa"/>
            </w:tcMar>
            <w:vAlign w:val="center"/>
          </w:tcPr>
          <w:p w14:paraId="443E573E" w14:textId="77777777" w:rsidR="00313C50" w:rsidRDefault="00000000">
            <w:pPr>
              <w:spacing w:before="40" w:after="40" w:line="240" w:lineRule="auto"/>
            </w:pPr>
            <w:r>
              <w:rPr>
                <w:sz w:val="20"/>
              </w:rPr>
              <w:lastRenderedPageBreak/>
              <w:t>SG02</w:t>
            </w:r>
            <w:r>
              <w:rPr>
                <w:sz w:val="20"/>
              </w:rPr>
              <w:br/>
              <w:t>[27]</w:t>
            </w:r>
          </w:p>
        </w:tc>
        <w:tc>
          <w:tcPr>
            <w:tcW w:w="4752" w:type="dxa"/>
            <w:tcMar>
              <w:top w:w="85" w:type="dxa"/>
              <w:left w:w="85" w:type="dxa"/>
              <w:bottom w:w="85" w:type="dxa"/>
              <w:right w:w="85" w:type="dxa"/>
            </w:tcMar>
            <w:vAlign w:val="center"/>
          </w:tcPr>
          <w:p w14:paraId="26A5CA74" w14:textId="77777777" w:rsidR="00313C50" w:rsidRDefault="00000000">
            <w:pPr>
              <w:spacing w:before="40" w:after="40" w:line="240" w:lineRule="auto"/>
            </w:pPr>
            <w:r>
              <w:rPr>
                <w:sz w:val="20"/>
              </w:rPr>
              <w:t>Ministry of Health, Singapore. Healthcare services regulation and licensing. Updated 4 May 2026.</w:t>
            </w:r>
            <w:r>
              <w:rPr>
                <w:sz w:val="20"/>
              </w:rPr>
              <w:br/>
              <w:t>English; ministry regulatory explanation, updated May 2026</w:t>
            </w:r>
            <w:r>
              <w:rPr>
                <w:sz w:val="20"/>
              </w:rPr>
              <w:br/>
              <w:t>Locator: Healthcare Services Act description</w:t>
            </w:r>
          </w:p>
          <w:p w14:paraId="41549151" w14:textId="77777777" w:rsidR="00313C50" w:rsidRDefault="00000000">
            <w:pPr>
              <w:spacing w:after="40" w:line="240" w:lineRule="auto"/>
            </w:pPr>
            <w:hyperlink r:id="rId17">
              <w:r>
                <w:rPr>
                  <w:sz w:val="20"/>
                </w:rPr>
                <w:t>Open source</w:t>
              </w:r>
            </w:hyperlink>
          </w:p>
        </w:tc>
        <w:tc>
          <w:tcPr>
            <w:tcW w:w="4104" w:type="dxa"/>
            <w:tcMar>
              <w:top w:w="85" w:type="dxa"/>
              <w:left w:w="85" w:type="dxa"/>
              <w:bottom w:w="85" w:type="dxa"/>
              <w:right w:w="85" w:type="dxa"/>
            </w:tcMar>
            <w:vAlign w:val="center"/>
          </w:tcPr>
          <w:p w14:paraId="6457ADB6" w14:textId="77777777" w:rsidR="00313C50" w:rsidRDefault="00000000">
            <w:pPr>
              <w:spacing w:before="40" w:after="40" w:line="240" w:lineRule="auto"/>
            </w:pPr>
            <w:r>
              <w:rPr>
                <w:sz w:val="20"/>
              </w:rPr>
              <w:t>The ministry describes service-based licensing and regulation responsive to different care-delivery models.</w:t>
            </w:r>
          </w:p>
        </w:tc>
        <w:tc>
          <w:tcPr>
            <w:tcW w:w="4104" w:type="dxa"/>
            <w:tcMar>
              <w:top w:w="85" w:type="dxa"/>
              <w:left w:w="85" w:type="dxa"/>
              <w:bottom w:w="85" w:type="dxa"/>
              <w:right w:w="85" w:type="dxa"/>
            </w:tcMar>
            <w:vAlign w:val="center"/>
          </w:tcPr>
          <w:p w14:paraId="12AFFE6E" w14:textId="77777777" w:rsidR="00313C50" w:rsidRDefault="00000000">
            <w:pPr>
              <w:spacing w:before="40" w:after="40" w:line="240" w:lineRule="auto"/>
            </w:pPr>
            <w:r>
              <w:rPr>
                <w:sz w:val="20"/>
              </w:rPr>
              <w:t>Clinical authorization; general healthcare regulation, not a dedicated tourism standard.</w:t>
            </w:r>
          </w:p>
        </w:tc>
      </w:tr>
      <w:tr w:rsidR="00313C50" w14:paraId="4F2B840A" w14:textId="77777777">
        <w:trPr>
          <w:cantSplit/>
          <w:jc w:val="center"/>
        </w:trPr>
        <w:tc>
          <w:tcPr>
            <w:tcW w:w="1008" w:type="dxa"/>
            <w:tcMar>
              <w:top w:w="85" w:type="dxa"/>
              <w:left w:w="85" w:type="dxa"/>
              <w:bottom w:w="85" w:type="dxa"/>
              <w:right w:w="85" w:type="dxa"/>
            </w:tcMar>
            <w:vAlign w:val="center"/>
          </w:tcPr>
          <w:p w14:paraId="66AB1841" w14:textId="77777777" w:rsidR="00313C50" w:rsidRDefault="00000000">
            <w:pPr>
              <w:spacing w:before="40" w:after="40" w:line="240" w:lineRule="auto"/>
            </w:pPr>
            <w:r>
              <w:rPr>
                <w:sz w:val="20"/>
              </w:rPr>
              <w:t>SG03</w:t>
            </w:r>
            <w:r>
              <w:rPr>
                <w:sz w:val="20"/>
              </w:rPr>
              <w:br/>
              <w:t>[20]</w:t>
            </w:r>
          </w:p>
        </w:tc>
        <w:tc>
          <w:tcPr>
            <w:tcW w:w="4752" w:type="dxa"/>
            <w:tcMar>
              <w:top w:w="85" w:type="dxa"/>
              <w:left w:w="85" w:type="dxa"/>
              <w:bottom w:w="85" w:type="dxa"/>
              <w:right w:w="85" w:type="dxa"/>
            </w:tcMar>
            <w:vAlign w:val="center"/>
          </w:tcPr>
          <w:p w14:paraId="4CCE5F30" w14:textId="77777777" w:rsidR="00313C50" w:rsidRDefault="00000000">
            <w:pPr>
              <w:spacing w:before="40" w:after="40" w:line="240" w:lineRule="auto"/>
            </w:pPr>
            <w:r>
              <w:rPr>
                <w:sz w:val="20"/>
              </w:rPr>
              <w:t>Channel NewsAsia. Why Singapore is sitting out the fight for medical tourists in Southeast Asia. 18 January 2025.</w:t>
            </w:r>
            <w:r>
              <w:rPr>
                <w:sz w:val="20"/>
              </w:rPr>
              <w:br/>
              <w:t>English; journalism quoting the ministry, 2025</w:t>
            </w:r>
            <w:r>
              <w:rPr>
                <w:sz w:val="20"/>
              </w:rPr>
              <w:br/>
              <w:t>Locator: Passage on foreign inpatient and day-surgery patients, 2019–2023</w:t>
            </w:r>
          </w:p>
          <w:p w14:paraId="24268BA8" w14:textId="77777777" w:rsidR="00313C50" w:rsidRDefault="00000000">
            <w:pPr>
              <w:spacing w:after="40" w:line="240" w:lineRule="auto"/>
            </w:pPr>
            <w:hyperlink r:id="rId18">
              <w:r>
                <w:rPr>
                  <w:sz w:val="20"/>
                </w:rPr>
                <w:t>Open source</w:t>
              </w:r>
            </w:hyperlink>
          </w:p>
        </w:tc>
        <w:tc>
          <w:tcPr>
            <w:tcW w:w="4104" w:type="dxa"/>
            <w:tcMar>
              <w:top w:w="85" w:type="dxa"/>
              <w:left w:w="85" w:type="dxa"/>
              <w:bottom w:w="85" w:type="dxa"/>
              <w:right w:w="85" w:type="dxa"/>
            </w:tcMar>
            <w:vAlign w:val="center"/>
          </w:tcPr>
          <w:p w14:paraId="75C86FFD" w14:textId="77777777" w:rsidR="00313C50" w:rsidRDefault="00000000">
            <w:pPr>
              <w:spacing w:before="40" w:after="40" w:line="240" w:lineRule="auto"/>
            </w:pPr>
            <w:r>
              <w:rPr>
                <w:sz w:val="20"/>
              </w:rPr>
              <w:t>Reports a ministry-provided average of about 18,000 patients annually in public and private inpatient/day-surgery settings.</w:t>
            </w:r>
          </w:p>
        </w:tc>
        <w:tc>
          <w:tcPr>
            <w:tcW w:w="4104" w:type="dxa"/>
            <w:tcMar>
              <w:top w:w="85" w:type="dxa"/>
              <w:left w:w="85" w:type="dxa"/>
              <w:bottom w:w="85" w:type="dxa"/>
              <w:right w:w="85" w:type="dxa"/>
            </w:tcMar>
            <w:vAlign w:val="center"/>
          </w:tcPr>
          <w:p w14:paraId="257D3373" w14:textId="77777777" w:rsidR="00313C50" w:rsidRDefault="00000000">
            <w:pPr>
              <w:spacing w:before="40" w:after="40" w:line="240" w:lineRule="auto"/>
            </w:pPr>
            <w:r>
              <w:rPr>
                <w:sz w:val="20"/>
              </w:rPr>
              <w:t>Context only; primary underlying tabulation not obtained. Does not count the whole outpatient market.</w:t>
            </w:r>
          </w:p>
        </w:tc>
      </w:tr>
      <w:tr w:rsidR="00313C50" w14:paraId="69D58103" w14:textId="77777777">
        <w:trPr>
          <w:cantSplit/>
          <w:jc w:val="center"/>
        </w:trPr>
        <w:tc>
          <w:tcPr>
            <w:tcW w:w="1008" w:type="dxa"/>
            <w:tcMar>
              <w:top w:w="85" w:type="dxa"/>
              <w:left w:w="85" w:type="dxa"/>
              <w:bottom w:w="85" w:type="dxa"/>
              <w:right w:w="85" w:type="dxa"/>
            </w:tcMar>
            <w:vAlign w:val="center"/>
          </w:tcPr>
          <w:p w14:paraId="5375557D" w14:textId="77777777" w:rsidR="00313C50" w:rsidRDefault="00000000">
            <w:pPr>
              <w:spacing w:before="40" w:after="40" w:line="240" w:lineRule="auto"/>
            </w:pPr>
            <w:r>
              <w:rPr>
                <w:sz w:val="20"/>
              </w:rPr>
              <w:t>TH01</w:t>
            </w:r>
            <w:r>
              <w:rPr>
                <w:sz w:val="20"/>
              </w:rPr>
              <w:br/>
              <w:t>[15]</w:t>
            </w:r>
          </w:p>
        </w:tc>
        <w:tc>
          <w:tcPr>
            <w:tcW w:w="4752" w:type="dxa"/>
            <w:tcMar>
              <w:top w:w="85" w:type="dxa"/>
              <w:left w:w="85" w:type="dxa"/>
              <w:bottom w:w="85" w:type="dxa"/>
              <w:right w:w="85" w:type="dxa"/>
            </w:tcMar>
            <w:vAlign w:val="center"/>
          </w:tcPr>
          <w:p w14:paraId="575D7ECA" w14:textId="77777777" w:rsidR="00313C50" w:rsidRDefault="00000000">
            <w:pPr>
              <w:spacing w:before="40" w:after="40" w:line="240" w:lineRule="auto"/>
            </w:pPr>
            <w:r>
              <w:rPr>
                <w:sz w:val="20"/>
              </w:rPr>
              <w:t>Government Public Relations Department, Thailand. Thailand on track to become Southeast Asia’s leading medical hub. 12 March 2026.</w:t>
            </w:r>
            <w:r>
              <w:rPr>
                <w:sz w:val="20"/>
              </w:rPr>
              <w:br/>
              <w:t>English; government policy and promotional communication, 2026</w:t>
            </w:r>
            <w:r>
              <w:rPr>
                <w:sz w:val="20"/>
              </w:rPr>
              <w:br/>
              <w:t>Locator: Thailand’s 10-Year Medical Hub Plan</w:t>
            </w:r>
          </w:p>
          <w:p w14:paraId="38D5F82E" w14:textId="77777777" w:rsidR="00313C50" w:rsidRDefault="00000000">
            <w:pPr>
              <w:spacing w:after="40" w:line="240" w:lineRule="auto"/>
            </w:pPr>
            <w:hyperlink r:id="rId19">
              <w:r>
                <w:rPr>
                  <w:sz w:val="20"/>
                </w:rPr>
                <w:t>Open source</w:t>
              </w:r>
            </w:hyperlink>
          </w:p>
        </w:tc>
        <w:tc>
          <w:tcPr>
            <w:tcW w:w="4104" w:type="dxa"/>
            <w:tcMar>
              <w:top w:w="85" w:type="dxa"/>
              <w:left w:w="85" w:type="dxa"/>
              <w:bottom w:w="85" w:type="dxa"/>
              <w:right w:w="85" w:type="dxa"/>
            </w:tcMar>
            <w:vAlign w:val="center"/>
          </w:tcPr>
          <w:p w14:paraId="039ECCAA" w14:textId="77777777" w:rsidR="00313C50" w:rsidRDefault="00000000">
            <w:pPr>
              <w:spacing w:before="40" w:after="40" w:line="240" w:lineRule="auto"/>
            </w:pPr>
            <w:r>
              <w:rPr>
                <w:sz w:val="20"/>
              </w:rPr>
              <w:t>Names the health steering committee, health-service support department and tourism authority; describes a successor draft strategy and spending context.</w:t>
            </w:r>
          </w:p>
        </w:tc>
        <w:tc>
          <w:tcPr>
            <w:tcW w:w="4104" w:type="dxa"/>
            <w:tcMar>
              <w:top w:w="85" w:type="dxa"/>
              <w:left w:w="85" w:type="dxa"/>
              <w:bottom w:w="85" w:type="dxa"/>
              <w:right w:w="85" w:type="dxa"/>
            </w:tcMar>
            <w:vAlign w:val="center"/>
          </w:tcPr>
          <w:p w14:paraId="7E1E41F6" w14:textId="77777777" w:rsidR="00313C50" w:rsidRDefault="00000000">
            <w:pPr>
              <w:spacing w:before="40" w:after="40" w:line="240" w:lineRule="auto"/>
            </w:pPr>
            <w:r>
              <w:rPr>
                <w:sz w:val="20"/>
              </w:rPr>
              <w:t>Policy/context; strategy proposals and promotional assertions are not evaluated outcomes.</w:t>
            </w:r>
          </w:p>
        </w:tc>
      </w:tr>
      <w:tr w:rsidR="00313C50" w14:paraId="1C7B70C5" w14:textId="77777777">
        <w:trPr>
          <w:cantSplit/>
          <w:jc w:val="center"/>
        </w:trPr>
        <w:tc>
          <w:tcPr>
            <w:tcW w:w="1008" w:type="dxa"/>
            <w:tcMar>
              <w:top w:w="85" w:type="dxa"/>
              <w:left w:w="85" w:type="dxa"/>
              <w:bottom w:w="85" w:type="dxa"/>
              <w:right w:w="85" w:type="dxa"/>
            </w:tcMar>
            <w:vAlign w:val="center"/>
          </w:tcPr>
          <w:p w14:paraId="3EC339AA" w14:textId="77777777" w:rsidR="00313C50" w:rsidRDefault="00000000">
            <w:pPr>
              <w:spacing w:before="40" w:after="40" w:line="240" w:lineRule="auto"/>
            </w:pPr>
            <w:r>
              <w:rPr>
                <w:sz w:val="20"/>
              </w:rPr>
              <w:t>TH02</w:t>
            </w:r>
            <w:r>
              <w:rPr>
                <w:sz w:val="20"/>
              </w:rPr>
              <w:br/>
              <w:t>[28]</w:t>
            </w:r>
          </w:p>
        </w:tc>
        <w:tc>
          <w:tcPr>
            <w:tcW w:w="4752" w:type="dxa"/>
            <w:tcMar>
              <w:top w:w="85" w:type="dxa"/>
              <w:left w:w="85" w:type="dxa"/>
              <w:bottom w:w="85" w:type="dxa"/>
              <w:right w:w="85" w:type="dxa"/>
            </w:tcMar>
            <w:vAlign w:val="center"/>
          </w:tcPr>
          <w:p w14:paraId="628805F9" w14:textId="77777777" w:rsidR="00313C50" w:rsidRDefault="00000000">
            <w:pPr>
              <w:spacing w:before="40" w:after="40" w:line="240" w:lineRule="auto"/>
            </w:pPr>
            <w:r>
              <w:rPr>
                <w:sz w:val="20"/>
              </w:rPr>
              <w:t>Department of Health Service Support, Ministry of Public Health, Thailand. Manual for quality development towards the Thailand Wellness Awards. Preface dated 2024; English translation posted 2025.</w:t>
            </w:r>
            <w:r>
              <w:rPr>
                <w:sz w:val="20"/>
              </w:rPr>
              <w:br/>
              <w:t>Thai-origin official English translation; manual, preface 2024, posted 2025</w:t>
            </w:r>
            <w:r>
              <w:rPr>
                <w:sz w:val="20"/>
              </w:rPr>
              <w:br/>
              <w:t>Locator: PDF pp. 16, 21, 23–24 and 28–30; sections 1.5, 3.1–3.3 and 3.8–3.9</w:t>
            </w:r>
          </w:p>
          <w:p w14:paraId="175A0BC8" w14:textId="77777777" w:rsidR="00313C50" w:rsidRDefault="00000000">
            <w:pPr>
              <w:spacing w:after="40" w:line="240" w:lineRule="auto"/>
            </w:pPr>
            <w:hyperlink r:id="rId20">
              <w:r>
                <w:rPr>
                  <w:sz w:val="20"/>
                </w:rPr>
                <w:t>Open source</w:t>
              </w:r>
            </w:hyperlink>
          </w:p>
        </w:tc>
        <w:tc>
          <w:tcPr>
            <w:tcW w:w="4104" w:type="dxa"/>
            <w:tcMar>
              <w:top w:w="85" w:type="dxa"/>
              <w:left w:w="85" w:type="dxa"/>
              <w:bottom w:w="85" w:type="dxa"/>
              <w:right w:w="85" w:type="dxa"/>
            </w:tcMar>
            <w:vAlign w:val="center"/>
          </w:tcPr>
          <w:p w14:paraId="7482C7D4" w14:textId="77777777" w:rsidR="00313C50" w:rsidRDefault="00000000">
            <w:pPr>
              <w:spacing w:before="40" w:after="40" w:line="240" w:lineRule="auto"/>
            </w:pPr>
            <w:r>
              <w:rPr>
                <w:sz w:val="20"/>
              </w:rPr>
              <w:t>Requires relevant licensing documentation and describes assessment bodies, site visits and a customer-complaint indicator.</w:t>
            </w:r>
          </w:p>
        </w:tc>
        <w:tc>
          <w:tcPr>
            <w:tcW w:w="4104" w:type="dxa"/>
            <w:tcMar>
              <w:top w:w="85" w:type="dxa"/>
              <w:left w:w="85" w:type="dxa"/>
              <w:bottom w:w="85" w:type="dxa"/>
              <w:right w:w="85" w:type="dxa"/>
            </w:tcMar>
            <w:vAlign w:val="center"/>
          </w:tcPr>
          <w:p w14:paraId="5838F77E" w14:textId="77777777" w:rsidR="00313C50" w:rsidRDefault="00000000">
            <w:pPr>
              <w:spacing w:before="40" w:after="40" w:line="240" w:lineRule="auto"/>
            </w:pPr>
            <w:r>
              <w:rPr>
                <w:sz w:val="20"/>
              </w:rPr>
              <w:t>Wellness assessment; scope does not establish hospital-procedure safety or clinical efficacy.</w:t>
            </w:r>
          </w:p>
        </w:tc>
      </w:tr>
      <w:tr w:rsidR="00313C50" w14:paraId="7F828166" w14:textId="77777777">
        <w:trPr>
          <w:cantSplit/>
          <w:jc w:val="center"/>
        </w:trPr>
        <w:tc>
          <w:tcPr>
            <w:tcW w:w="1008" w:type="dxa"/>
            <w:tcMar>
              <w:top w:w="85" w:type="dxa"/>
              <w:left w:w="85" w:type="dxa"/>
              <w:bottom w:w="85" w:type="dxa"/>
              <w:right w:w="85" w:type="dxa"/>
            </w:tcMar>
            <w:vAlign w:val="center"/>
          </w:tcPr>
          <w:p w14:paraId="46A200CB" w14:textId="77777777" w:rsidR="00313C50" w:rsidRDefault="00000000">
            <w:pPr>
              <w:spacing w:before="40" w:after="40" w:line="240" w:lineRule="auto"/>
            </w:pPr>
            <w:r>
              <w:rPr>
                <w:sz w:val="20"/>
              </w:rPr>
              <w:t>TH03</w:t>
            </w:r>
            <w:r>
              <w:rPr>
                <w:sz w:val="20"/>
              </w:rPr>
              <w:br/>
              <w:t>[29]</w:t>
            </w:r>
          </w:p>
        </w:tc>
        <w:tc>
          <w:tcPr>
            <w:tcW w:w="4752" w:type="dxa"/>
            <w:tcMar>
              <w:top w:w="85" w:type="dxa"/>
              <w:left w:w="85" w:type="dxa"/>
              <w:bottom w:w="85" w:type="dxa"/>
              <w:right w:w="85" w:type="dxa"/>
            </w:tcMar>
            <w:vAlign w:val="center"/>
          </w:tcPr>
          <w:p w14:paraId="500553AC" w14:textId="77777777" w:rsidR="00313C50" w:rsidRDefault="00000000">
            <w:pPr>
              <w:spacing w:before="40" w:after="40" w:line="240" w:lineRule="auto"/>
            </w:pPr>
            <w:r>
              <w:rPr>
                <w:sz w:val="20"/>
              </w:rPr>
              <w:t>Bumrungrad International Hospital. The insurance payment process. 26 January 2021.</w:t>
            </w:r>
            <w:r>
              <w:rPr>
                <w:sz w:val="20"/>
              </w:rPr>
              <w:br/>
              <w:t>English; provider payment guidance, 2021</w:t>
            </w:r>
            <w:r>
              <w:rPr>
                <w:sz w:val="20"/>
              </w:rPr>
              <w:br/>
              <w:t>Locator: Prior authorization and patient discharge process</w:t>
            </w:r>
          </w:p>
          <w:p w14:paraId="7767C4D9" w14:textId="77777777" w:rsidR="00313C50" w:rsidRDefault="00000000">
            <w:pPr>
              <w:spacing w:after="40" w:line="240" w:lineRule="auto"/>
            </w:pPr>
            <w:hyperlink r:id="rId21">
              <w:r>
                <w:rPr>
                  <w:sz w:val="20"/>
                </w:rPr>
                <w:t>Open source</w:t>
              </w:r>
            </w:hyperlink>
          </w:p>
        </w:tc>
        <w:tc>
          <w:tcPr>
            <w:tcW w:w="4104" w:type="dxa"/>
            <w:tcMar>
              <w:top w:w="85" w:type="dxa"/>
              <w:left w:w="85" w:type="dxa"/>
              <w:bottom w:w="85" w:type="dxa"/>
              <w:right w:w="85" w:type="dxa"/>
            </w:tcMar>
            <w:vAlign w:val="center"/>
          </w:tcPr>
          <w:p w14:paraId="62F7B117" w14:textId="77777777" w:rsidR="00313C50" w:rsidRDefault="00000000">
            <w:pPr>
              <w:spacing w:before="40" w:after="40" w:line="240" w:lineRule="auto"/>
            </w:pPr>
            <w:r>
              <w:rPr>
                <w:sz w:val="20"/>
              </w:rPr>
              <w:t>One hospital describes insurer authorization, bill review and patient liability for uncovered costs.</w:t>
            </w:r>
          </w:p>
        </w:tc>
        <w:tc>
          <w:tcPr>
            <w:tcW w:w="4104" w:type="dxa"/>
            <w:tcMar>
              <w:top w:w="85" w:type="dxa"/>
              <w:left w:w="85" w:type="dxa"/>
              <w:bottom w:w="85" w:type="dxa"/>
              <w:right w:w="85" w:type="dxa"/>
            </w:tcMar>
            <w:vAlign w:val="center"/>
          </w:tcPr>
          <w:p w14:paraId="5351ADB9" w14:textId="77777777" w:rsidR="00313C50" w:rsidRDefault="00000000">
            <w:pPr>
              <w:spacing w:before="40" w:after="40" w:line="240" w:lineRule="auto"/>
            </w:pPr>
            <w:r>
              <w:rPr>
                <w:sz w:val="20"/>
              </w:rPr>
              <w:t>Payment/discharge; self-description by a commercial provider, not a national survey.</w:t>
            </w:r>
          </w:p>
        </w:tc>
      </w:tr>
      <w:tr w:rsidR="00313C50" w14:paraId="56502FCF" w14:textId="77777777">
        <w:trPr>
          <w:cantSplit/>
          <w:jc w:val="center"/>
        </w:trPr>
        <w:tc>
          <w:tcPr>
            <w:tcW w:w="1008" w:type="dxa"/>
            <w:tcMar>
              <w:top w:w="85" w:type="dxa"/>
              <w:left w:w="85" w:type="dxa"/>
              <w:bottom w:w="85" w:type="dxa"/>
              <w:right w:w="85" w:type="dxa"/>
            </w:tcMar>
            <w:vAlign w:val="center"/>
          </w:tcPr>
          <w:p w14:paraId="4CAB152C" w14:textId="77777777" w:rsidR="00313C50" w:rsidRDefault="00000000">
            <w:pPr>
              <w:spacing w:before="40" w:after="40" w:line="240" w:lineRule="auto"/>
            </w:pPr>
            <w:r>
              <w:rPr>
                <w:sz w:val="20"/>
              </w:rPr>
              <w:lastRenderedPageBreak/>
              <w:t>TH04</w:t>
            </w:r>
            <w:r>
              <w:rPr>
                <w:sz w:val="20"/>
              </w:rPr>
              <w:br/>
              <w:t>[21]</w:t>
            </w:r>
          </w:p>
        </w:tc>
        <w:tc>
          <w:tcPr>
            <w:tcW w:w="4752" w:type="dxa"/>
            <w:tcMar>
              <w:top w:w="85" w:type="dxa"/>
              <w:left w:w="85" w:type="dxa"/>
              <w:bottom w:w="85" w:type="dxa"/>
              <w:right w:w="85" w:type="dxa"/>
            </w:tcMar>
            <w:vAlign w:val="center"/>
          </w:tcPr>
          <w:p w14:paraId="5A582135" w14:textId="77777777" w:rsidR="00313C50" w:rsidRDefault="00000000">
            <w:pPr>
              <w:spacing w:before="40" w:after="40" w:line="240" w:lineRule="auto"/>
            </w:pPr>
            <w:r>
              <w:rPr>
                <w:sz w:val="20"/>
              </w:rPr>
              <w:t>Kohpaiboon A, Pupaibul T. Medical tourism in the post-pandemic era: experience from Thailand. ISEAS Economics Working Paper 2025-3. Singapore: ISEAS–Yusof Ishak Institute; 2025.</w:t>
            </w:r>
            <w:r>
              <w:rPr>
                <w:sz w:val="20"/>
              </w:rPr>
              <w:br/>
              <w:t>English; institutional research report, 2025</w:t>
            </w:r>
            <w:r>
              <w:rPr>
                <w:sz w:val="20"/>
              </w:rPr>
              <w:br/>
              <w:t>Locator: Section 4.2, Flows of Foreign Patients</w:t>
            </w:r>
          </w:p>
          <w:p w14:paraId="01FEE17F" w14:textId="77777777" w:rsidR="00313C50" w:rsidRDefault="00000000">
            <w:pPr>
              <w:spacing w:after="40" w:line="240" w:lineRule="auto"/>
            </w:pPr>
            <w:hyperlink r:id="rId22">
              <w:r>
                <w:rPr>
                  <w:sz w:val="20"/>
                </w:rPr>
                <w:t>Open source</w:t>
              </w:r>
            </w:hyperlink>
          </w:p>
        </w:tc>
        <w:tc>
          <w:tcPr>
            <w:tcW w:w="4104" w:type="dxa"/>
            <w:tcMar>
              <w:top w:w="85" w:type="dxa"/>
              <w:left w:w="85" w:type="dxa"/>
              <w:bottom w:w="85" w:type="dxa"/>
              <w:right w:w="85" w:type="dxa"/>
            </w:tcMar>
            <w:vAlign w:val="center"/>
          </w:tcPr>
          <w:p w14:paraId="2A1D868D" w14:textId="77777777" w:rsidR="00313C50" w:rsidRDefault="00000000">
            <w:pPr>
              <w:spacing w:before="40" w:after="40" w:line="240" w:lineRule="auto"/>
            </w:pPr>
            <w:r>
              <w:rPr>
                <w:sz w:val="20"/>
              </w:rPr>
              <w:t>The report scrutinizes estimates mixing medical tourists, residents and incidental care users.</w:t>
            </w:r>
          </w:p>
        </w:tc>
        <w:tc>
          <w:tcPr>
            <w:tcW w:w="4104" w:type="dxa"/>
            <w:tcMar>
              <w:top w:w="85" w:type="dxa"/>
              <w:left w:w="85" w:type="dxa"/>
              <w:bottom w:w="85" w:type="dxa"/>
              <w:right w:w="85" w:type="dxa"/>
            </w:tcMar>
            <w:vAlign w:val="center"/>
          </w:tcPr>
          <w:p w14:paraId="49BF98A8" w14:textId="77777777" w:rsidR="00313C50" w:rsidRDefault="00000000">
            <w:pPr>
              <w:spacing w:before="40" w:after="40" w:line="240" w:lineRule="auto"/>
            </w:pPr>
            <w:r>
              <w:rPr>
                <w:sz w:val="20"/>
              </w:rPr>
              <w:t>Context and denominator critique; estimates depend on assumptions and are not a national patient registry.</w:t>
            </w:r>
          </w:p>
        </w:tc>
      </w:tr>
      <w:tr w:rsidR="00313C50" w14:paraId="074E7CFB" w14:textId="77777777">
        <w:trPr>
          <w:cantSplit/>
          <w:jc w:val="center"/>
        </w:trPr>
        <w:tc>
          <w:tcPr>
            <w:tcW w:w="1008" w:type="dxa"/>
            <w:tcMar>
              <w:top w:w="85" w:type="dxa"/>
              <w:left w:w="85" w:type="dxa"/>
              <w:bottom w:w="85" w:type="dxa"/>
              <w:right w:w="85" w:type="dxa"/>
            </w:tcMar>
            <w:vAlign w:val="center"/>
          </w:tcPr>
          <w:p w14:paraId="5D46FCAD" w14:textId="77777777" w:rsidR="00313C50" w:rsidRDefault="00000000">
            <w:pPr>
              <w:spacing w:before="40" w:after="40" w:line="240" w:lineRule="auto"/>
            </w:pPr>
            <w:r>
              <w:rPr>
                <w:sz w:val="20"/>
              </w:rPr>
              <w:t>IN01</w:t>
            </w:r>
            <w:r>
              <w:rPr>
                <w:sz w:val="20"/>
              </w:rPr>
              <w:br/>
              <w:t>[16]</w:t>
            </w:r>
          </w:p>
        </w:tc>
        <w:tc>
          <w:tcPr>
            <w:tcW w:w="4752" w:type="dxa"/>
            <w:tcMar>
              <w:top w:w="85" w:type="dxa"/>
              <w:left w:w="85" w:type="dxa"/>
              <w:bottom w:w="85" w:type="dxa"/>
              <w:right w:w="85" w:type="dxa"/>
            </w:tcMar>
            <w:vAlign w:val="center"/>
          </w:tcPr>
          <w:p w14:paraId="075868F2" w14:textId="77777777" w:rsidR="00313C50" w:rsidRDefault="00000000">
            <w:pPr>
              <w:spacing w:before="40" w:after="40" w:line="240" w:lineRule="auto"/>
            </w:pPr>
            <w:r>
              <w:rPr>
                <w:sz w:val="20"/>
              </w:rPr>
              <w:t>Ministry of Tourism, Government of India. National Strategy and Roadmap for Medical and Wellness Tourism focuses to develop India as brand for wellness destination. Parliamentary reply reproduced by the Press Information Bureau. 25 July 2022.</w:t>
            </w:r>
            <w:r>
              <w:rPr>
                <w:sz w:val="20"/>
              </w:rPr>
              <w:br/>
              <w:t>English; ministry parliamentary reply, 2022</w:t>
            </w:r>
            <w:r>
              <w:rPr>
                <w:sz w:val="20"/>
              </w:rPr>
              <w:br/>
              <w:t>Locator: National board and accreditation-related promotional support</w:t>
            </w:r>
          </w:p>
          <w:p w14:paraId="65BEB533" w14:textId="77777777" w:rsidR="00313C50" w:rsidRDefault="00000000">
            <w:pPr>
              <w:spacing w:after="40" w:line="240" w:lineRule="auto"/>
            </w:pPr>
            <w:hyperlink r:id="rId23">
              <w:r>
                <w:rPr>
                  <w:sz w:val="20"/>
                </w:rPr>
                <w:t>Open source</w:t>
              </w:r>
            </w:hyperlink>
          </w:p>
        </w:tc>
        <w:tc>
          <w:tcPr>
            <w:tcW w:w="4104" w:type="dxa"/>
            <w:tcMar>
              <w:top w:w="85" w:type="dxa"/>
              <w:left w:w="85" w:type="dxa"/>
              <w:bottom w:w="85" w:type="dxa"/>
              <w:right w:w="85" w:type="dxa"/>
            </w:tcMar>
            <w:vAlign w:val="center"/>
          </w:tcPr>
          <w:p w14:paraId="603A4296" w14:textId="77777777" w:rsidR="00313C50" w:rsidRDefault="00000000">
            <w:pPr>
              <w:spacing w:before="40" w:after="40" w:line="240" w:lineRule="auto"/>
            </w:pPr>
            <w:r>
              <w:rPr>
                <w:sz w:val="20"/>
              </w:rPr>
              <w:t>The tourism ministry identifies the national board and a link between accreditation and promotional support.</w:t>
            </w:r>
          </w:p>
        </w:tc>
        <w:tc>
          <w:tcPr>
            <w:tcW w:w="4104" w:type="dxa"/>
            <w:tcMar>
              <w:top w:w="85" w:type="dxa"/>
              <w:left w:w="85" w:type="dxa"/>
              <w:bottom w:w="85" w:type="dxa"/>
              <w:right w:w="85" w:type="dxa"/>
            </w:tcMar>
            <w:vAlign w:val="center"/>
          </w:tcPr>
          <w:p w14:paraId="36196543" w14:textId="77777777" w:rsidR="00313C50" w:rsidRDefault="00000000">
            <w:pPr>
              <w:spacing w:before="40" w:after="40" w:line="240" w:lineRule="auto"/>
            </w:pPr>
            <w:r>
              <w:rPr>
                <w:sz w:val="20"/>
              </w:rPr>
              <w:t>Policy coordination; an official summary of the 2022 strategy, not the inaccessible full original PDF.</w:t>
            </w:r>
          </w:p>
        </w:tc>
      </w:tr>
      <w:tr w:rsidR="00313C50" w14:paraId="196C87DA" w14:textId="77777777">
        <w:trPr>
          <w:cantSplit/>
          <w:jc w:val="center"/>
        </w:trPr>
        <w:tc>
          <w:tcPr>
            <w:tcW w:w="1008" w:type="dxa"/>
            <w:tcMar>
              <w:top w:w="85" w:type="dxa"/>
              <w:left w:w="85" w:type="dxa"/>
              <w:bottom w:w="85" w:type="dxa"/>
              <w:right w:w="85" w:type="dxa"/>
            </w:tcMar>
            <w:vAlign w:val="center"/>
          </w:tcPr>
          <w:p w14:paraId="691D6127" w14:textId="77777777" w:rsidR="00313C50" w:rsidRDefault="00000000">
            <w:pPr>
              <w:spacing w:before="40" w:after="40" w:line="240" w:lineRule="auto"/>
            </w:pPr>
            <w:r>
              <w:rPr>
                <w:sz w:val="20"/>
              </w:rPr>
              <w:t>IN02</w:t>
            </w:r>
            <w:r>
              <w:rPr>
                <w:sz w:val="20"/>
              </w:rPr>
              <w:br/>
              <w:t>[31]</w:t>
            </w:r>
          </w:p>
        </w:tc>
        <w:tc>
          <w:tcPr>
            <w:tcW w:w="4752" w:type="dxa"/>
            <w:tcMar>
              <w:top w:w="85" w:type="dxa"/>
              <w:left w:w="85" w:type="dxa"/>
              <w:bottom w:w="85" w:type="dxa"/>
              <w:right w:w="85" w:type="dxa"/>
            </w:tcMar>
            <w:vAlign w:val="center"/>
          </w:tcPr>
          <w:p w14:paraId="2725094F" w14:textId="77777777" w:rsidR="00313C50" w:rsidRDefault="00000000">
            <w:pPr>
              <w:spacing w:before="40" w:after="40" w:line="240" w:lineRule="auto"/>
            </w:pPr>
            <w:r>
              <w:rPr>
                <w:sz w:val="20"/>
              </w:rPr>
              <w:t>Ministry of Tourism, Government of India. Ministry of Tourism has formulated a National Strategy and Roadmap for Medical and Wellness Tourism to boost Medical Tourism. Parliamentary reply reproduced by the Press Information Bureau. 7 August 2023.</w:t>
            </w:r>
            <w:r>
              <w:rPr>
                <w:sz w:val="20"/>
              </w:rPr>
              <w:br/>
              <w:t>English; ministry parliamentary reply, 2023</w:t>
            </w:r>
            <w:r>
              <w:rPr>
                <w:sz w:val="20"/>
              </w:rPr>
              <w:br/>
              <w:t>Locator: Visa paragraphs and final coordination paragraph</w:t>
            </w:r>
          </w:p>
          <w:p w14:paraId="52E2E401" w14:textId="77777777" w:rsidR="00313C50" w:rsidRDefault="00000000">
            <w:pPr>
              <w:spacing w:after="40" w:line="240" w:lineRule="auto"/>
            </w:pPr>
            <w:hyperlink r:id="rId24">
              <w:r>
                <w:rPr>
                  <w:sz w:val="20"/>
                </w:rPr>
                <w:t>Open source</w:t>
              </w:r>
            </w:hyperlink>
          </w:p>
        </w:tc>
        <w:tc>
          <w:tcPr>
            <w:tcW w:w="4104" w:type="dxa"/>
            <w:tcMar>
              <w:top w:w="85" w:type="dxa"/>
              <w:left w:w="85" w:type="dxa"/>
              <w:bottom w:w="85" w:type="dxa"/>
              <w:right w:w="85" w:type="dxa"/>
            </w:tcMar>
            <w:vAlign w:val="center"/>
          </w:tcPr>
          <w:p w14:paraId="6551DF11" w14:textId="77777777" w:rsidR="00313C50" w:rsidRDefault="00000000">
            <w:pPr>
              <w:spacing w:before="40" w:after="40" w:line="240" w:lineRule="auto"/>
            </w:pPr>
            <w:r>
              <w:rPr>
                <w:sz w:val="20"/>
              </w:rPr>
              <w:t>The health ministry’s coordination includes hospitals, facilitators, insurance companies and NABH; medical and attendant visas are described.</w:t>
            </w:r>
          </w:p>
        </w:tc>
        <w:tc>
          <w:tcPr>
            <w:tcW w:w="4104" w:type="dxa"/>
            <w:tcMar>
              <w:top w:w="85" w:type="dxa"/>
              <w:left w:w="85" w:type="dxa"/>
              <w:bottom w:w="85" w:type="dxa"/>
              <w:right w:w="85" w:type="dxa"/>
            </w:tcMar>
            <w:vAlign w:val="center"/>
          </w:tcPr>
          <w:p w14:paraId="10E76DD0" w14:textId="77777777" w:rsidR="00313C50" w:rsidRDefault="00000000">
            <w:pPr>
              <w:spacing w:before="40" w:after="40" w:line="240" w:lineRule="auto"/>
            </w:pPr>
            <w:r>
              <w:rPr>
                <w:sz w:val="20"/>
              </w:rPr>
              <w:t>Entry/payment; names participants without establishing uniform coverage or contractual protection.</w:t>
            </w:r>
          </w:p>
        </w:tc>
      </w:tr>
      <w:tr w:rsidR="00313C50" w14:paraId="103F41E4" w14:textId="77777777">
        <w:trPr>
          <w:cantSplit/>
          <w:jc w:val="center"/>
        </w:trPr>
        <w:tc>
          <w:tcPr>
            <w:tcW w:w="1008" w:type="dxa"/>
            <w:tcMar>
              <w:top w:w="85" w:type="dxa"/>
              <w:left w:w="85" w:type="dxa"/>
              <w:bottom w:w="85" w:type="dxa"/>
              <w:right w:w="85" w:type="dxa"/>
            </w:tcMar>
            <w:vAlign w:val="center"/>
          </w:tcPr>
          <w:p w14:paraId="73A46E04" w14:textId="77777777" w:rsidR="00313C50" w:rsidRDefault="00000000">
            <w:pPr>
              <w:spacing w:before="40" w:after="40" w:line="240" w:lineRule="auto"/>
            </w:pPr>
            <w:r>
              <w:rPr>
                <w:sz w:val="20"/>
              </w:rPr>
              <w:t>IN03</w:t>
            </w:r>
            <w:r>
              <w:rPr>
                <w:sz w:val="20"/>
              </w:rPr>
              <w:br/>
              <w:t>[22]</w:t>
            </w:r>
          </w:p>
        </w:tc>
        <w:tc>
          <w:tcPr>
            <w:tcW w:w="4752" w:type="dxa"/>
            <w:tcMar>
              <w:top w:w="85" w:type="dxa"/>
              <w:left w:w="85" w:type="dxa"/>
              <w:bottom w:w="85" w:type="dxa"/>
              <w:right w:w="85" w:type="dxa"/>
            </w:tcMar>
            <w:vAlign w:val="center"/>
          </w:tcPr>
          <w:p w14:paraId="061D75A9" w14:textId="77777777" w:rsidR="00313C50" w:rsidRDefault="00000000">
            <w:pPr>
              <w:spacing w:before="40" w:after="40" w:line="240" w:lineRule="auto"/>
            </w:pPr>
            <w:r>
              <w:rPr>
                <w:sz w:val="20"/>
              </w:rPr>
              <w:t>Press Information Bureau, Government of India. Medical and wellness tourism in India. 2 May 2026.</w:t>
            </w:r>
            <w:r>
              <w:rPr>
                <w:sz w:val="20"/>
              </w:rPr>
              <w:br/>
              <w:t>English; government backgrounder, 2026</w:t>
            </w:r>
            <w:r>
              <w:rPr>
                <w:sz w:val="20"/>
              </w:rPr>
              <w:br/>
              <w:t>Locator: The 2025–26 Statistical Landscape; strategic initiatives</w:t>
            </w:r>
          </w:p>
          <w:p w14:paraId="33377E95" w14:textId="77777777" w:rsidR="00313C50" w:rsidRDefault="00000000">
            <w:pPr>
              <w:spacing w:after="40" w:line="240" w:lineRule="auto"/>
            </w:pPr>
            <w:hyperlink r:id="rId25">
              <w:r>
                <w:rPr>
                  <w:sz w:val="20"/>
                </w:rPr>
                <w:t>Open source</w:t>
              </w:r>
            </w:hyperlink>
          </w:p>
        </w:tc>
        <w:tc>
          <w:tcPr>
            <w:tcW w:w="4104" w:type="dxa"/>
            <w:tcMar>
              <w:top w:w="85" w:type="dxa"/>
              <w:left w:w="85" w:type="dxa"/>
              <w:bottom w:w="85" w:type="dxa"/>
              <w:right w:w="85" w:type="dxa"/>
            </w:tcMar>
            <w:vAlign w:val="center"/>
          </w:tcPr>
          <w:p w14:paraId="72FFD7B8" w14:textId="77777777" w:rsidR="00313C50" w:rsidRDefault="00000000">
            <w:pPr>
              <w:spacing w:before="40" w:after="40" w:line="240" w:lineRule="auto"/>
            </w:pPr>
            <w:r>
              <w:rPr>
                <w:sz w:val="20"/>
              </w:rPr>
              <w:t>Reports 507,244 medical-purpose arrivals in 2025; repeats an industry market estimate and distinguishes planned initiatives.</w:t>
            </w:r>
          </w:p>
        </w:tc>
        <w:tc>
          <w:tcPr>
            <w:tcW w:w="4104" w:type="dxa"/>
            <w:tcMar>
              <w:top w:w="85" w:type="dxa"/>
              <w:left w:w="85" w:type="dxa"/>
              <w:bottom w:w="85" w:type="dxa"/>
              <w:right w:w="85" w:type="dxa"/>
            </w:tcMar>
            <w:vAlign w:val="center"/>
          </w:tcPr>
          <w:p w14:paraId="5C039385" w14:textId="77777777" w:rsidR="00313C50" w:rsidRDefault="00000000">
            <w:pPr>
              <w:spacing w:before="40" w:after="40" w:line="240" w:lineRule="auto"/>
            </w:pPr>
            <w:r>
              <w:rPr>
                <w:sz w:val="20"/>
              </w:rPr>
              <w:t>Context/policy; arrival counts, estimated market value and implemented services are different evidence types.</w:t>
            </w:r>
          </w:p>
        </w:tc>
      </w:tr>
      <w:tr w:rsidR="00313C50" w14:paraId="2A5DA9A4" w14:textId="77777777">
        <w:trPr>
          <w:cantSplit/>
          <w:jc w:val="center"/>
        </w:trPr>
        <w:tc>
          <w:tcPr>
            <w:tcW w:w="1008" w:type="dxa"/>
            <w:tcMar>
              <w:top w:w="85" w:type="dxa"/>
              <w:left w:w="85" w:type="dxa"/>
              <w:bottom w:w="85" w:type="dxa"/>
              <w:right w:w="85" w:type="dxa"/>
            </w:tcMar>
            <w:vAlign w:val="center"/>
          </w:tcPr>
          <w:p w14:paraId="65CF82DF" w14:textId="77777777" w:rsidR="00313C50" w:rsidRDefault="00000000">
            <w:pPr>
              <w:spacing w:before="40" w:after="40" w:line="240" w:lineRule="auto"/>
            </w:pPr>
            <w:r>
              <w:rPr>
                <w:sz w:val="20"/>
              </w:rPr>
              <w:lastRenderedPageBreak/>
              <w:t>IN04</w:t>
            </w:r>
            <w:r>
              <w:rPr>
                <w:sz w:val="20"/>
              </w:rPr>
              <w:br/>
              <w:t>[30]</w:t>
            </w:r>
          </w:p>
        </w:tc>
        <w:tc>
          <w:tcPr>
            <w:tcW w:w="4752" w:type="dxa"/>
            <w:tcMar>
              <w:top w:w="85" w:type="dxa"/>
              <w:left w:w="85" w:type="dxa"/>
              <w:bottom w:w="85" w:type="dxa"/>
              <w:right w:w="85" w:type="dxa"/>
            </w:tcMar>
            <w:vAlign w:val="center"/>
          </w:tcPr>
          <w:p w14:paraId="64DC83F2" w14:textId="77777777" w:rsidR="00313C50" w:rsidRDefault="00000000">
            <w:pPr>
              <w:spacing w:before="40" w:after="40" w:line="240" w:lineRule="auto"/>
            </w:pPr>
            <w:r>
              <w:rPr>
                <w:sz w:val="20"/>
              </w:rPr>
              <w:t>Ministry of Tourism, Government of India. Heal in India initiative for medical tourism. Reply to Lok Sabha Unstarred Question No. 4136. 18 August 2025. Parliamentary Digital Library copy.</w:t>
            </w:r>
            <w:r>
              <w:rPr>
                <w:sz w:val="20"/>
              </w:rPr>
              <w:br/>
              <w:t>English; parliamentary reply, 2025</w:t>
            </w:r>
            <w:r>
              <w:rPr>
                <w:sz w:val="20"/>
              </w:rPr>
              <w:br/>
              <w:t>Locator: PDF pp. 1–2, answer to parts (a)–(e); p. 3, statistical annex</w:t>
            </w:r>
          </w:p>
          <w:p w14:paraId="7ABEBA12" w14:textId="77777777" w:rsidR="00313C50" w:rsidRDefault="00000000">
            <w:pPr>
              <w:spacing w:after="40" w:line="240" w:lineRule="auto"/>
            </w:pPr>
            <w:hyperlink r:id="rId26">
              <w:r>
                <w:rPr>
                  <w:sz w:val="20"/>
                </w:rPr>
                <w:t>Open source</w:t>
              </w:r>
            </w:hyperlink>
          </w:p>
        </w:tc>
        <w:tc>
          <w:tcPr>
            <w:tcW w:w="4104" w:type="dxa"/>
            <w:tcMar>
              <w:top w:w="85" w:type="dxa"/>
              <w:left w:w="85" w:type="dxa"/>
              <w:bottom w:w="85" w:type="dxa"/>
              <w:right w:w="85" w:type="dxa"/>
            </w:tcMar>
            <w:vAlign w:val="center"/>
          </w:tcPr>
          <w:p w14:paraId="01F5389B" w14:textId="77777777" w:rsidR="00313C50" w:rsidRDefault="00000000">
            <w:pPr>
              <w:spacing w:before="40" w:after="40" w:line="240" w:lineRule="auto"/>
            </w:pPr>
            <w:r>
              <w:rPr>
                <w:sz w:val="20"/>
              </w:rPr>
              <w:t>States and union territories lead tourism development and promotion; the national ministry complements their work. The reply also describes medical e-visas and SEPC promotion.</w:t>
            </w:r>
          </w:p>
        </w:tc>
        <w:tc>
          <w:tcPr>
            <w:tcW w:w="4104" w:type="dxa"/>
            <w:tcMar>
              <w:top w:w="85" w:type="dxa"/>
              <w:left w:w="85" w:type="dxa"/>
              <w:bottom w:w="85" w:type="dxa"/>
              <w:right w:w="85" w:type="dxa"/>
            </w:tcMar>
            <w:vAlign w:val="center"/>
          </w:tcPr>
          <w:p w14:paraId="378953B9" w14:textId="77777777" w:rsidR="00313C50" w:rsidRDefault="00000000">
            <w:pPr>
              <w:spacing w:before="40" w:after="40" w:line="240" w:lineRule="auto"/>
            </w:pPr>
            <w:r>
              <w:rPr>
                <w:sz w:val="20"/>
              </w:rPr>
              <w:t>Policy coordination; distinguishes government levels. Annex figures have their own reporting periods and are not outcomes of the initiative.</w:t>
            </w:r>
          </w:p>
        </w:tc>
      </w:tr>
      <w:tr w:rsidR="00313C50" w14:paraId="3641CDDF" w14:textId="77777777">
        <w:trPr>
          <w:cantSplit/>
          <w:jc w:val="center"/>
        </w:trPr>
        <w:tc>
          <w:tcPr>
            <w:tcW w:w="1008" w:type="dxa"/>
            <w:tcMar>
              <w:top w:w="85" w:type="dxa"/>
              <w:left w:w="85" w:type="dxa"/>
              <w:bottom w:w="85" w:type="dxa"/>
              <w:right w:w="85" w:type="dxa"/>
            </w:tcMar>
            <w:vAlign w:val="center"/>
          </w:tcPr>
          <w:p w14:paraId="6641C35B" w14:textId="77777777" w:rsidR="00313C50" w:rsidRDefault="00000000">
            <w:pPr>
              <w:spacing w:before="40" w:after="40" w:line="240" w:lineRule="auto"/>
            </w:pPr>
            <w:r>
              <w:rPr>
                <w:sz w:val="20"/>
              </w:rPr>
              <w:t>IN05</w:t>
            </w:r>
            <w:r>
              <w:rPr>
                <w:sz w:val="20"/>
              </w:rPr>
              <w:br/>
              <w:t>[32]</w:t>
            </w:r>
          </w:p>
        </w:tc>
        <w:tc>
          <w:tcPr>
            <w:tcW w:w="4752" w:type="dxa"/>
            <w:tcMar>
              <w:top w:w="85" w:type="dxa"/>
              <w:left w:w="85" w:type="dxa"/>
              <w:bottom w:w="85" w:type="dxa"/>
              <w:right w:w="85" w:type="dxa"/>
            </w:tcMar>
            <w:vAlign w:val="center"/>
          </w:tcPr>
          <w:p w14:paraId="03F05E8B" w14:textId="77777777" w:rsidR="00313C50" w:rsidRDefault="00000000">
            <w:pPr>
              <w:spacing w:before="40" w:after="40" w:line="240" w:lineRule="auto"/>
            </w:pPr>
            <w:r>
              <w:rPr>
                <w:sz w:val="20"/>
              </w:rPr>
              <w:t>Government of India. e-Visa: medical and medical attendant categories. Undated. Applicant instructions and frequently asked questions.</w:t>
            </w:r>
            <w:r>
              <w:rPr>
                <w:sz w:val="20"/>
              </w:rPr>
              <w:br/>
              <w:t>English; official visa guidance, undated</w:t>
            </w:r>
            <w:r>
              <w:rPr>
                <w:sz w:val="20"/>
              </w:rPr>
              <w:br/>
              <w:t>Locator: Documents Required: e-Medical Visa; FAQ question 20</w:t>
            </w:r>
          </w:p>
          <w:p w14:paraId="37679DDD" w14:textId="77777777" w:rsidR="00313C50" w:rsidRDefault="00000000">
            <w:pPr>
              <w:spacing w:after="40" w:line="240" w:lineRule="auto"/>
            </w:pPr>
            <w:hyperlink r:id="rId27">
              <w:r>
                <w:rPr>
                  <w:sz w:val="20"/>
                </w:rPr>
                <w:t>Open source</w:t>
              </w:r>
            </w:hyperlink>
          </w:p>
        </w:tc>
        <w:tc>
          <w:tcPr>
            <w:tcW w:w="4104" w:type="dxa"/>
            <w:tcMar>
              <w:top w:w="85" w:type="dxa"/>
              <w:left w:w="85" w:type="dxa"/>
              <w:bottom w:w="85" w:type="dxa"/>
              <w:right w:w="85" w:type="dxa"/>
            </w:tcMar>
            <w:vAlign w:val="center"/>
          </w:tcPr>
          <w:p w14:paraId="1D1FF6F0" w14:textId="77777777" w:rsidR="00313C50" w:rsidRDefault="00000000">
            <w:pPr>
              <w:spacing w:before="40" w:after="40" w:line="240" w:lineRule="auto"/>
            </w:pPr>
            <w:r>
              <w:rPr>
                <w:sz w:val="20"/>
              </w:rPr>
              <w:t>A hospital letter identifying a tentative admission or treatment date is required for the medical visa application.</w:t>
            </w:r>
          </w:p>
        </w:tc>
        <w:tc>
          <w:tcPr>
            <w:tcW w:w="4104" w:type="dxa"/>
            <w:tcMar>
              <w:top w:w="85" w:type="dxa"/>
              <w:left w:w="85" w:type="dxa"/>
              <w:bottom w:w="85" w:type="dxa"/>
              <w:right w:w="85" w:type="dxa"/>
            </w:tcMar>
            <w:vAlign w:val="center"/>
          </w:tcPr>
          <w:p w14:paraId="6E510BE2" w14:textId="77777777" w:rsidR="00313C50" w:rsidRDefault="00000000">
            <w:pPr>
              <w:spacing w:before="40" w:after="40" w:line="240" w:lineRule="auto"/>
            </w:pPr>
            <w:r>
              <w:rPr>
                <w:sz w:val="20"/>
              </w:rPr>
              <w:t>Entry/referral; document requirement links the application to a receiving institution, without establishing treatment quality or insurance coverage.</w:t>
            </w:r>
          </w:p>
        </w:tc>
      </w:tr>
      <w:tr w:rsidR="00313C50" w14:paraId="499111D7" w14:textId="77777777">
        <w:trPr>
          <w:cantSplit/>
          <w:jc w:val="center"/>
        </w:trPr>
        <w:tc>
          <w:tcPr>
            <w:tcW w:w="1008" w:type="dxa"/>
            <w:tcMar>
              <w:top w:w="85" w:type="dxa"/>
              <w:left w:w="85" w:type="dxa"/>
              <w:bottom w:w="85" w:type="dxa"/>
              <w:right w:w="85" w:type="dxa"/>
            </w:tcMar>
            <w:vAlign w:val="center"/>
          </w:tcPr>
          <w:p w14:paraId="1583A5BA" w14:textId="77777777" w:rsidR="00313C50" w:rsidRDefault="00000000">
            <w:pPr>
              <w:spacing w:before="40" w:after="40" w:line="240" w:lineRule="auto"/>
            </w:pPr>
            <w:r>
              <w:rPr>
                <w:sz w:val="20"/>
              </w:rPr>
              <w:t>CN01</w:t>
            </w:r>
            <w:r>
              <w:rPr>
                <w:sz w:val="20"/>
              </w:rPr>
              <w:br/>
              <w:t>[23]</w:t>
            </w:r>
          </w:p>
        </w:tc>
        <w:tc>
          <w:tcPr>
            <w:tcW w:w="4752" w:type="dxa"/>
            <w:tcMar>
              <w:top w:w="85" w:type="dxa"/>
              <w:left w:w="85" w:type="dxa"/>
              <w:bottom w:w="85" w:type="dxa"/>
              <w:right w:w="85" w:type="dxa"/>
            </w:tcMar>
            <w:vAlign w:val="center"/>
          </w:tcPr>
          <w:p w14:paraId="76798F82" w14:textId="77777777" w:rsidR="00313C50" w:rsidRDefault="00000000">
            <w:pPr>
              <w:spacing w:before="40" w:after="40" w:line="240" w:lineRule="auto"/>
            </w:pPr>
            <w:r>
              <w:rPr>
                <w:sz w:val="20"/>
              </w:rPr>
              <w:t>Shanghai Municipal People’s Government. Building the Shanghai brand of international medical tourism through high-level public hospital pilots. Jiefang Daily report republished on the municipal portal. 20 September 2024. Chinese.</w:t>
            </w:r>
            <w:r>
              <w:rPr>
                <w:sz w:val="20"/>
              </w:rPr>
              <w:br/>
              <w:t>Chinese; government-hosted newspaper report, 2024</w:t>
            </w:r>
            <w:r>
              <w:rPr>
                <w:sz w:val="20"/>
              </w:rPr>
              <w:br/>
              <w:t>Locator: Paragraph beginning with the September 2023 pilot launch</w:t>
            </w:r>
          </w:p>
          <w:p w14:paraId="30835E3F" w14:textId="77777777" w:rsidR="00313C50" w:rsidRDefault="00000000">
            <w:pPr>
              <w:spacing w:after="40" w:line="240" w:lineRule="auto"/>
            </w:pPr>
            <w:hyperlink r:id="rId28">
              <w:r>
                <w:rPr>
                  <w:sz w:val="20"/>
                </w:rPr>
                <w:t>Open source</w:t>
              </w:r>
            </w:hyperlink>
          </w:p>
        </w:tc>
        <w:tc>
          <w:tcPr>
            <w:tcW w:w="4104" w:type="dxa"/>
            <w:tcMar>
              <w:top w:w="85" w:type="dxa"/>
              <w:left w:w="85" w:type="dxa"/>
              <w:bottom w:w="85" w:type="dxa"/>
              <w:right w:w="85" w:type="dxa"/>
            </w:tcMar>
            <w:vAlign w:val="center"/>
          </w:tcPr>
          <w:p w14:paraId="3AC35FA5" w14:textId="77777777" w:rsidR="00313C50" w:rsidRDefault="00000000">
            <w:pPr>
              <w:spacing w:before="40" w:after="40" w:line="240" w:lineRule="auto"/>
            </w:pPr>
            <w:r>
              <w:rPr>
                <w:sz w:val="20"/>
              </w:rPr>
              <w:t>Reports pilot-hospital international services separately from citywide foreign/Hong Kong/Macao/Taiwan inpatients.</w:t>
            </w:r>
          </w:p>
        </w:tc>
        <w:tc>
          <w:tcPr>
            <w:tcW w:w="4104" w:type="dxa"/>
            <w:tcMar>
              <w:top w:w="85" w:type="dxa"/>
              <w:left w:w="85" w:type="dxa"/>
              <w:bottom w:w="85" w:type="dxa"/>
              <w:right w:w="85" w:type="dxa"/>
            </w:tcMar>
            <w:vAlign w:val="center"/>
          </w:tcPr>
          <w:p w14:paraId="7438FEBA" w14:textId="77777777" w:rsidR="00313C50" w:rsidRDefault="00000000">
            <w:pPr>
              <w:spacing w:before="40" w:after="40" w:line="240" w:lineRule="auto"/>
            </w:pPr>
            <w:r>
              <w:rPr>
                <w:sz w:val="20"/>
              </w:rPr>
              <w:t>Reported activity; nationality categories do not establish residence or travel purpose.</w:t>
            </w:r>
          </w:p>
        </w:tc>
      </w:tr>
      <w:tr w:rsidR="00313C50" w14:paraId="16653268" w14:textId="77777777">
        <w:trPr>
          <w:cantSplit/>
          <w:jc w:val="center"/>
        </w:trPr>
        <w:tc>
          <w:tcPr>
            <w:tcW w:w="1008" w:type="dxa"/>
            <w:tcMar>
              <w:top w:w="85" w:type="dxa"/>
              <w:left w:w="85" w:type="dxa"/>
              <w:bottom w:w="85" w:type="dxa"/>
              <w:right w:w="85" w:type="dxa"/>
            </w:tcMar>
            <w:vAlign w:val="center"/>
          </w:tcPr>
          <w:p w14:paraId="5D665113" w14:textId="77777777" w:rsidR="00313C50" w:rsidRDefault="00000000">
            <w:pPr>
              <w:spacing w:before="40" w:after="40" w:line="240" w:lineRule="auto"/>
            </w:pPr>
            <w:r>
              <w:rPr>
                <w:sz w:val="20"/>
              </w:rPr>
              <w:t>CN02</w:t>
            </w:r>
            <w:r>
              <w:rPr>
                <w:sz w:val="20"/>
              </w:rPr>
              <w:br/>
              <w:t>[33]</w:t>
            </w:r>
          </w:p>
        </w:tc>
        <w:tc>
          <w:tcPr>
            <w:tcW w:w="4752" w:type="dxa"/>
            <w:tcMar>
              <w:top w:w="85" w:type="dxa"/>
              <w:left w:w="85" w:type="dxa"/>
              <w:bottom w:w="85" w:type="dxa"/>
              <w:right w:w="85" w:type="dxa"/>
            </w:tcMar>
            <w:vAlign w:val="center"/>
          </w:tcPr>
          <w:p w14:paraId="39413C4A" w14:textId="77777777" w:rsidR="00313C50" w:rsidRDefault="00000000">
            <w:pPr>
              <w:spacing w:before="40" w:after="40" w:line="240" w:lineRule="auto"/>
            </w:pPr>
            <w:r>
              <w:rPr>
                <w:sz w:val="20"/>
              </w:rPr>
              <w:t>General Office of the Shanghai Municipal People’s Government. Implementation opinion on promoting Shanghai international medical innovation development. Hu Fu Ban Fa [2024] No. 32. Issued 30 December 2024; published 8 January 2025. Chinese.</w:t>
            </w:r>
            <w:r>
              <w:rPr>
                <w:sz w:val="20"/>
              </w:rPr>
              <w:br/>
              <w:t>Chinese; municipal policy, issued 2024, published 2025</w:t>
            </w:r>
            <w:r>
              <w:rPr>
                <w:sz w:val="20"/>
              </w:rPr>
              <w:br/>
              <w:t>Locator: Sections I, III, IV and V; particularly IV(2) and V(3)</w:t>
            </w:r>
          </w:p>
          <w:p w14:paraId="16B2BC6D" w14:textId="77777777" w:rsidR="00313C50" w:rsidRDefault="00000000">
            <w:pPr>
              <w:spacing w:after="40" w:line="240" w:lineRule="auto"/>
            </w:pPr>
            <w:hyperlink r:id="rId29">
              <w:r>
                <w:rPr>
                  <w:sz w:val="20"/>
                </w:rPr>
                <w:t>Open source</w:t>
              </w:r>
            </w:hyperlink>
          </w:p>
        </w:tc>
        <w:tc>
          <w:tcPr>
            <w:tcW w:w="4104" w:type="dxa"/>
            <w:tcMar>
              <w:top w:w="85" w:type="dxa"/>
              <w:left w:w="85" w:type="dxa"/>
              <w:bottom w:w="85" w:type="dxa"/>
              <w:right w:w="85" w:type="dxa"/>
            </w:tcMar>
            <w:vAlign w:val="center"/>
          </w:tcPr>
          <w:p w14:paraId="61F35765" w14:textId="77777777" w:rsidR="00313C50" w:rsidRDefault="00000000">
            <w:pPr>
              <w:spacing w:before="40" w:after="40" w:line="240" w:lineRule="auto"/>
            </w:pPr>
            <w:r>
              <w:rPr>
                <w:sz w:val="20"/>
              </w:rPr>
              <w:t>Allocates departmental duties for international services, including insurer cooperation, complaints and statistical monitoring.</w:t>
            </w:r>
          </w:p>
        </w:tc>
        <w:tc>
          <w:tcPr>
            <w:tcW w:w="4104" w:type="dxa"/>
            <w:tcMar>
              <w:top w:w="85" w:type="dxa"/>
              <w:left w:w="85" w:type="dxa"/>
              <w:bottom w:w="85" w:type="dxa"/>
              <w:right w:w="85" w:type="dxa"/>
            </w:tcMar>
            <w:vAlign w:val="center"/>
          </w:tcPr>
          <w:p w14:paraId="4F6CA791" w14:textId="77777777" w:rsidR="00313C50" w:rsidRDefault="00000000">
            <w:pPr>
              <w:spacing w:before="40" w:after="40" w:line="240" w:lineRule="auto"/>
            </w:pPr>
            <w:r>
              <w:rPr>
                <w:sz w:val="20"/>
              </w:rPr>
              <w:t>Policy design; distinguish encouraged measures from proof of institutional implementation.</w:t>
            </w:r>
          </w:p>
        </w:tc>
      </w:tr>
      <w:tr w:rsidR="00313C50" w14:paraId="2BB6211C" w14:textId="77777777">
        <w:trPr>
          <w:cantSplit/>
          <w:jc w:val="center"/>
        </w:trPr>
        <w:tc>
          <w:tcPr>
            <w:tcW w:w="1008" w:type="dxa"/>
            <w:tcMar>
              <w:top w:w="85" w:type="dxa"/>
              <w:left w:w="85" w:type="dxa"/>
              <w:bottom w:w="85" w:type="dxa"/>
              <w:right w:w="85" w:type="dxa"/>
            </w:tcMar>
            <w:vAlign w:val="center"/>
          </w:tcPr>
          <w:p w14:paraId="434B7342" w14:textId="77777777" w:rsidR="00313C50" w:rsidRDefault="00000000">
            <w:pPr>
              <w:spacing w:before="40" w:after="40" w:line="240" w:lineRule="auto"/>
            </w:pPr>
            <w:r>
              <w:rPr>
                <w:sz w:val="20"/>
              </w:rPr>
              <w:lastRenderedPageBreak/>
              <w:t>CN03</w:t>
            </w:r>
            <w:r>
              <w:rPr>
                <w:sz w:val="20"/>
              </w:rPr>
              <w:br/>
              <w:t>[35]</w:t>
            </w:r>
          </w:p>
        </w:tc>
        <w:tc>
          <w:tcPr>
            <w:tcW w:w="4752" w:type="dxa"/>
            <w:tcMar>
              <w:top w:w="85" w:type="dxa"/>
              <w:left w:w="85" w:type="dxa"/>
              <w:bottom w:w="85" w:type="dxa"/>
              <w:right w:w="85" w:type="dxa"/>
            </w:tcMar>
            <w:vAlign w:val="center"/>
          </w:tcPr>
          <w:p w14:paraId="40917CA6" w14:textId="77777777" w:rsidR="00313C50" w:rsidRDefault="00000000">
            <w:pPr>
              <w:spacing w:before="40" w:after="40" w:line="240" w:lineRule="auto"/>
            </w:pPr>
            <w:r>
              <w:rPr>
                <w:sz w:val="20"/>
              </w:rPr>
              <w:t>State Administration for Market Regulation, China. International medical service specification DB31/T 1487-2024. National standards information registry entry. Issued 18 June 2024; effective 1 October 2024. Chinese.</w:t>
            </w:r>
            <w:r>
              <w:rPr>
                <w:sz w:val="20"/>
              </w:rPr>
              <w:br/>
              <w:t>Chinese; official standards metadata, 2024</w:t>
            </w:r>
            <w:r>
              <w:rPr>
                <w:sz w:val="20"/>
              </w:rPr>
              <w:br/>
              <w:t>Locator: Basic information and status fields</w:t>
            </w:r>
          </w:p>
          <w:p w14:paraId="2867C5B2" w14:textId="77777777" w:rsidR="00313C50" w:rsidRDefault="00000000">
            <w:pPr>
              <w:spacing w:after="40" w:line="240" w:lineRule="auto"/>
            </w:pPr>
            <w:hyperlink r:id="rId30">
              <w:r>
                <w:rPr>
                  <w:sz w:val="20"/>
                </w:rPr>
                <w:t>Open source</w:t>
              </w:r>
            </w:hyperlink>
          </w:p>
        </w:tc>
        <w:tc>
          <w:tcPr>
            <w:tcW w:w="4104" w:type="dxa"/>
            <w:tcMar>
              <w:top w:w="85" w:type="dxa"/>
              <w:left w:w="85" w:type="dxa"/>
              <w:bottom w:w="85" w:type="dxa"/>
              <w:right w:w="85" w:type="dxa"/>
            </w:tcMar>
            <w:vAlign w:val="center"/>
          </w:tcPr>
          <w:p w14:paraId="30180BE4" w14:textId="77777777" w:rsidR="00313C50" w:rsidRDefault="00000000">
            <w:pPr>
              <w:spacing w:before="40" w:after="40" w:line="240" w:lineRule="auto"/>
            </w:pPr>
            <w:r>
              <w:rPr>
                <w:sz w:val="20"/>
              </w:rPr>
              <w:t>DB31/T 1487-2024 is a recommended Shanghai local standard, effective 1 October 2024.</w:t>
            </w:r>
          </w:p>
        </w:tc>
        <w:tc>
          <w:tcPr>
            <w:tcW w:w="4104" w:type="dxa"/>
            <w:tcMar>
              <w:top w:w="85" w:type="dxa"/>
              <w:left w:w="85" w:type="dxa"/>
              <w:bottom w:w="85" w:type="dxa"/>
              <w:right w:w="85" w:type="dxa"/>
            </w:tcMar>
            <w:vAlign w:val="center"/>
          </w:tcPr>
          <w:p w14:paraId="258CF595" w14:textId="77777777" w:rsidR="00313C50" w:rsidRDefault="00000000">
            <w:pPr>
              <w:spacing w:before="40" w:after="40" w:line="240" w:lineRule="auto"/>
            </w:pPr>
            <w:r>
              <w:rPr>
                <w:sz w:val="20"/>
              </w:rPr>
              <w:t>Metadata only; full standard clauses and hospital compliance were not assessed.</w:t>
            </w:r>
          </w:p>
        </w:tc>
      </w:tr>
      <w:tr w:rsidR="00313C50" w14:paraId="0BA601B6" w14:textId="77777777">
        <w:trPr>
          <w:cantSplit/>
          <w:jc w:val="center"/>
        </w:trPr>
        <w:tc>
          <w:tcPr>
            <w:tcW w:w="1008" w:type="dxa"/>
            <w:tcMar>
              <w:top w:w="85" w:type="dxa"/>
              <w:left w:w="85" w:type="dxa"/>
              <w:bottom w:w="85" w:type="dxa"/>
              <w:right w:w="85" w:type="dxa"/>
            </w:tcMar>
            <w:vAlign w:val="center"/>
          </w:tcPr>
          <w:p w14:paraId="0520E9B2" w14:textId="77777777" w:rsidR="00313C50" w:rsidRDefault="00000000">
            <w:pPr>
              <w:spacing w:before="40" w:after="40" w:line="240" w:lineRule="auto"/>
            </w:pPr>
            <w:r>
              <w:rPr>
                <w:sz w:val="20"/>
              </w:rPr>
              <w:t>CN04</w:t>
            </w:r>
            <w:r>
              <w:rPr>
                <w:sz w:val="20"/>
              </w:rPr>
              <w:br/>
              <w:t>[24]</w:t>
            </w:r>
          </w:p>
        </w:tc>
        <w:tc>
          <w:tcPr>
            <w:tcW w:w="4752" w:type="dxa"/>
            <w:tcMar>
              <w:top w:w="85" w:type="dxa"/>
              <w:left w:w="85" w:type="dxa"/>
              <w:bottom w:w="85" w:type="dxa"/>
              <w:right w:w="85" w:type="dxa"/>
            </w:tcMar>
            <w:vAlign w:val="center"/>
          </w:tcPr>
          <w:p w14:paraId="5AB1FFD2" w14:textId="77777777" w:rsidR="00313C50" w:rsidRDefault="00000000">
            <w:pPr>
              <w:spacing w:before="40" w:after="40" w:line="240" w:lineRule="auto"/>
            </w:pPr>
            <w:r>
              <w:rPr>
                <w:sz w:val="20"/>
              </w:rPr>
              <w:t>Xinhua News Agency. Boao Lecheng develops its medical and health industry and medical tourism services. 16 March 2025. Chinese.</w:t>
            </w:r>
            <w:r>
              <w:rPr>
                <w:sz w:val="20"/>
              </w:rPr>
              <w:br/>
              <w:t>Chinese; Xinhua reporting with named administration source, 2025</w:t>
            </w:r>
            <w:r>
              <w:rPr>
                <w:sz w:val="20"/>
              </w:rPr>
              <w:br/>
              <w:t>Locator: Paragraph reporting 2024 visits and specially permitted products</w:t>
            </w:r>
          </w:p>
          <w:p w14:paraId="79AFF0EE" w14:textId="77777777" w:rsidR="00313C50" w:rsidRDefault="00000000">
            <w:pPr>
              <w:spacing w:after="40" w:line="240" w:lineRule="auto"/>
            </w:pPr>
            <w:hyperlink r:id="rId31">
              <w:r>
                <w:rPr>
                  <w:sz w:val="20"/>
                </w:rPr>
                <w:t>Open source</w:t>
              </w:r>
            </w:hyperlink>
          </w:p>
        </w:tc>
        <w:tc>
          <w:tcPr>
            <w:tcW w:w="4104" w:type="dxa"/>
            <w:tcMar>
              <w:top w:w="85" w:type="dxa"/>
              <w:left w:w="85" w:type="dxa"/>
              <w:bottom w:w="85" w:type="dxa"/>
              <w:right w:w="85" w:type="dxa"/>
            </w:tcMar>
            <w:vAlign w:val="center"/>
          </w:tcPr>
          <w:p w14:paraId="6DBACBE6" w14:textId="77777777" w:rsidR="00313C50" w:rsidRDefault="00000000">
            <w:pPr>
              <w:spacing w:before="40" w:after="40" w:line="240" w:lineRule="auto"/>
            </w:pPr>
            <w:r>
              <w:rPr>
                <w:sz w:val="20"/>
              </w:rPr>
              <w:t>Reports 413,700 medical tourism visits and 51,400 permitted-product use episodes in 2024.</w:t>
            </w:r>
          </w:p>
        </w:tc>
        <w:tc>
          <w:tcPr>
            <w:tcW w:w="4104" w:type="dxa"/>
            <w:tcMar>
              <w:top w:w="85" w:type="dxa"/>
              <w:left w:w="85" w:type="dxa"/>
              <w:bottom w:w="85" w:type="dxa"/>
              <w:right w:w="85" w:type="dxa"/>
            </w:tcMar>
            <w:vAlign w:val="center"/>
          </w:tcPr>
          <w:p w14:paraId="322D370F" w14:textId="77777777" w:rsidR="00313C50" w:rsidRDefault="00000000">
            <w:pPr>
              <w:spacing w:before="40" w:after="40" w:line="240" w:lineRule="auto"/>
            </w:pPr>
            <w:r>
              <w:rPr>
                <w:sz w:val="20"/>
              </w:rPr>
              <w:t>Context/activity; visits are not overseas medical travellers or unique patients.</w:t>
            </w:r>
          </w:p>
        </w:tc>
      </w:tr>
      <w:tr w:rsidR="00313C50" w14:paraId="092B4D60" w14:textId="77777777">
        <w:trPr>
          <w:cantSplit/>
          <w:jc w:val="center"/>
        </w:trPr>
        <w:tc>
          <w:tcPr>
            <w:tcW w:w="1008" w:type="dxa"/>
            <w:tcMar>
              <w:top w:w="85" w:type="dxa"/>
              <w:left w:w="85" w:type="dxa"/>
              <w:bottom w:w="85" w:type="dxa"/>
              <w:right w:w="85" w:type="dxa"/>
            </w:tcMar>
            <w:vAlign w:val="center"/>
          </w:tcPr>
          <w:p w14:paraId="7A9C4CA0" w14:textId="77777777" w:rsidR="00313C50" w:rsidRDefault="00000000">
            <w:pPr>
              <w:spacing w:before="40" w:after="40" w:line="240" w:lineRule="auto"/>
            </w:pPr>
            <w:r>
              <w:rPr>
                <w:sz w:val="20"/>
              </w:rPr>
              <w:t>CN05</w:t>
            </w:r>
            <w:r>
              <w:rPr>
                <w:sz w:val="20"/>
              </w:rPr>
              <w:br/>
              <w:t>[34]</w:t>
            </w:r>
          </w:p>
        </w:tc>
        <w:tc>
          <w:tcPr>
            <w:tcW w:w="4752" w:type="dxa"/>
            <w:tcMar>
              <w:top w:w="85" w:type="dxa"/>
              <w:left w:w="85" w:type="dxa"/>
              <w:bottom w:w="85" w:type="dxa"/>
              <w:right w:w="85" w:type="dxa"/>
            </w:tcMar>
            <w:vAlign w:val="center"/>
          </w:tcPr>
          <w:p w14:paraId="59348817" w14:textId="77777777" w:rsidR="00313C50" w:rsidRDefault="00000000">
            <w:pPr>
              <w:spacing w:before="40" w:after="40" w:line="240" w:lineRule="auto"/>
            </w:pPr>
            <w:r>
              <w:rPr>
                <w:sz w:val="20"/>
              </w:rPr>
              <w:t>Standing Committee of the Hainan Provincial People’s Congress. Provisions on promoting new biomedical technologies in the Boao Lecheng International Medical Tourism Pilot Zone of Hainan Free Trade Port. Adopted 29 November 2024; effective 1 February 2025. Promulgated text reproduced in Hainan Daily, 8 December 2024, p. A15. Chinese.</w:t>
            </w:r>
            <w:r>
              <w:rPr>
                <w:sz w:val="20"/>
              </w:rPr>
              <w:br/>
              <w:t>Chinese; promulgated provincial legislation, 2024</w:t>
            </w:r>
            <w:r>
              <w:rPr>
                <w:sz w:val="20"/>
              </w:rPr>
              <w:br/>
              <w:t>Locator: Hainan Daily A15, HTML text; Articles 2–3, 8, 12–15, 19–24 and 28</w:t>
            </w:r>
          </w:p>
          <w:p w14:paraId="4F55BED5" w14:textId="77777777" w:rsidR="00313C50" w:rsidRDefault="00000000">
            <w:pPr>
              <w:spacing w:after="40" w:line="240" w:lineRule="auto"/>
            </w:pPr>
            <w:hyperlink r:id="rId32">
              <w:r>
                <w:rPr>
                  <w:sz w:val="20"/>
                </w:rPr>
                <w:t>Open source</w:t>
              </w:r>
            </w:hyperlink>
          </w:p>
        </w:tc>
        <w:tc>
          <w:tcPr>
            <w:tcW w:w="4104" w:type="dxa"/>
            <w:tcMar>
              <w:top w:w="85" w:type="dxa"/>
              <w:left w:w="85" w:type="dxa"/>
              <w:bottom w:w="85" w:type="dxa"/>
              <w:right w:w="85" w:type="dxa"/>
            </w:tcMar>
            <w:vAlign w:val="center"/>
          </w:tcPr>
          <w:p w14:paraId="2786E179" w14:textId="77777777" w:rsidR="00313C50" w:rsidRDefault="00000000">
            <w:pPr>
              <w:spacing w:before="40" w:after="40" w:line="240" w:lineRule="auto"/>
            </w:pPr>
            <w:r>
              <w:rPr>
                <w:sz w:val="20"/>
              </w:rPr>
              <w:t>Names oversight bodies and provider duties, including consent, information reporting and adverse-event responses.</w:t>
            </w:r>
          </w:p>
        </w:tc>
        <w:tc>
          <w:tcPr>
            <w:tcW w:w="4104" w:type="dxa"/>
            <w:tcMar>
              <w:top w:w="85" w:type="dxa"/>
              <w:left w:w="85" w:type="dxa"/>
              <w:bottom w:w="85" w:type="dxa"/>
              <w:right w:w="85" w:type="dxa"/>
            </w:tcMar>
            <w:vAlign w:val="center"/>
          </w:tcPr>
          <w:p w14:paraId="7C84AE9A" w14:textId="77777777" w:rsidR="00313C50" w:rsidRDefault="00000000">
            <w:pPr>
              <w:spacing w:before="40" w:after="40" w:line="240" w:lineRule="auto"/>
            </w:pPr>
            <w:r>
              <w:rPr>
                <w:sz w:val="20"/>
              </w:rPr>
              <w:t>Regulatory design for the technologies defined in Article 2; not a blanket authorization for all imports or proof of enforcement.</w:t>
            </w:r>
          </w:p>
        </w:tc>
      </w:tr>
      <w:tr w:rsidR="00313C50" w14:paraId="4852F269" w14:textId="77777777">
        <w:trPr>
          <w:cantSplit/>
          <w:jc w:val="center"/>
        </w:trPr>
        <w:tc>
          <w:tcPr>
            <w:tcW w:w="1008" w:type="dxa"/>
            <w:tcMar>
              <w:top w:w="85" w:type="dxa"/>
              <w:left w:w="85" w:type="dxa"/>
              <w:bottom w:w="85" w:type="dxa"/>
              <w:right w:w="85" w:type="dxa"/>
            </w:tcMar>
            <w:vAlign w:val="center"/>
          </w:tcPr>
          <w:p w14:paraId="5D440010" w14:textId="77777777" w:rsidR="00313C50" w:rsidRDefault="00000000">
            <w:pPr>
              <w:spacing w:before="40" w:after="40" w:line="240" w:lineRule="auto"/>
            </w:pPr>
            <w:r>
              <w:rPr>
                <w:sz w:val="20"/>
              </w:rPr>
              <w:t>CN06</w:t>
            </w:r>
            <w:r>
              <w:rPr>
                <w:sz w:val="20"/>
              </w:rPr>
              <w:br/>
              <w:t>[36]</w:t>
            </w:r>
          </w:p>
        </w:tc>
        <w:tc>
          <w:tcPr>
            <w:tcW w:w="4752" w:type="dxa"/>
            <w:tcMar>
              <w:top w:w="85" w:type="dxa"/>
              <w:left w:w="85" w:type="dxa"/>
              <w:bottom w:w="85" w:type="dxa"/>
              <w:right w:w="85" w:type="dxa"/>
            </w:tcMar>
            <w:vAlign w:val="center"/>
          </w:tcPr>
          <w:p w14:paraId="14C35BC1" w14:textId="77777777" w:rsidR="00313C50" w:rsidRDefault="00000000">
            <w:pPr>
              <w:spacing w:before="40" w:after="40" w:line="240" w:lineRule="auto"/>
            </w:pPr>
            <w:r>
              <w:rPr>
                <w:sz w:val="20"/>
              </w:rPr>
              <w:t>Qionghai Municipal People’s Government and Boao Lecheng International Medical Tourism Pilot Zone Administration. Joint notice issuing trial international medical tourism management measures and guidance on improving service quality. Hai Fu Gui [2025] No. 1. 24 March 2025. Chinese. Issuance metadata only.</w:t>
            </w:r>
            <w:r>
              <w:rPr>
                <w:sz w:val="20"/>
              </w:rPr>
              <w:br/>
              <w:t>Chinese; official joint-notice metadata, March 2025</w:t>
            </w:r>
            <w:r>
              <w:rPr>
                <w:sz w:val="20"/>
              </w:rPr>
              <w:br/>
              <w:t>Locator: Indexed notice title, issuing bodies and issue date; Hai Fu Gui [2025] No. 1</w:t>
            </w:r>
          </w:p>
          <w:p w14:paraId="25A3AAD8" w14:textId="77777777" w:rsidR="00313C50" w:rsidRDefault="00000000">
            <w:pPr>
              <w:spacing w:after="40" w:line="240" w:lineRule="auto"/>
            </w:pPr>
            <w:hyperlink r:id="rId33">
              <w:r>
                <w:rPr>
                  <w:sz w:val="20"/>
                </w:rPr>
                <w:t>Open source</w:t>
              </w:r>
            </w:hyperlink>
          </w:p>
        </w:tc>
        <w:tc>
          <w:tcPr>
            <w:tcW w:w="4104" w:type="dxa"/>
            <w:tcMar>
              <w:top w:w="85" w:type="dxa"/>
              <w:left w:w="85" w:type="dxa"/>
              <w:bottom w:w="85" w:type="dxa"/>
              <w:right w:w="85" w:type="dxa"/>
            </w:tcMar>
            <w:vAlign w:val="center"/>
          </w:tcPr>
          <w:p w14:paraId="12DDEEFF" w14:textId="77777777" w:rsidR="00313C50" w:rsidRDefault="00000000">
            <w:pPr>
              <w:spacing w:before="40" w:after="40" w:line="240" w:lineRule="auto"/>
            </w:pPr>
            <w:r>
              <w:rPr>
                <w:sz w:val="20"/>
              </w:rPr>
              <w:t>Municipal government and pilot-zone administration jointly issued dedicated medical tourism management measures and service-quality guidance.</w:t>
            </w:r>
          </w:p>
        </w:tc>
        <w:tc>
          <w:tcPr>
            <w:tcW w:w="4104" w:type="dxa"/>
            <w:tcMar>
              <w:top w:w="85" w:type="dxa"/>
              <w:left w:w="85" w:type="dxa"/>
              <w:bottom w:w="85" w:type="dxa"/>
              <w:right w:w="85" w:type="dxa"/>
            </w:tcMar>
            <w:vAlign w:val="center"/>
          </w:tcPr>
          <w:p w14:paraId="67266DE6" w14:textId="77777777" w:rsidR="00313C50" w:rsidRDefault="00000000">
            <w:pPr>
              <w:spacing w:before="40" w:after="40" w:line="240" w:lineRule="auto"/>
            </w:pPr>
            <w:r>
              <w:rPr>
                <w:sz w:val="20"/>
              </w:rPr>
              <w:t>Institutional ownership and issuance only. Full attachments were not retrieved and their clauses were not coded.</w:t>
            </w:r>
          </w:p>
        </w:tc>
      </w:tr>
    </w:tbl>
    <w:p w14:paraId="312A8887" w14:textId="77777777" w:rsidR="00313C50" w:rsidRPr="00C64F33" w:rsidRDefault="00000000" w:rsidP="00C64F33">
      <w:pPr>
        <w:spacing w:after="0"/>
        <w:rPr>
          <w:b/>
          <w:bCs/>
          <w:sz w:val="26"/>
          <w:szCs w:val="26"/>
        </w:rPr>
      </w:pPr>
      <w:r w:rsidRPr="00C64F33">
        <w:rPr>
          <w:b/>
          <w:bCs/>
          <w:sz w:val="26"/>
          <w:szCs w:val="26"/>
        </w:rPr>
        <w:lastRenderedPageBreak/>
        <w:t>Table S2  Language and translation decisions</w:t>
      </w:r>
    </w:p>
    <w:p w14:paraId="47C4697A" w14:textId="77777777" w:rsidR="00313C50" w:rsidRDefault="00000000">
      <w:r>
        <w:t>English source versions were preferred. AI-assisted translation supported reading of other-language passages; no independent bilingual validation is claimed. These examples preserve distinctions that directly affect coding.</w:t>
      </w:r>
    </w:p>
    <w:tbl>
      <w:tblPr>
        <w:tblW w:w="0" w:type="auto"/>
        <w:jc w:val="center"/>
        <w:tblBorders>
          <w:top w:val="single" w:sz="4" w:space="0" w:color="A6A6A6"/>
          <w:left w:val="nil"/>
          <w:bottom w:val="single" w:sz="4" w:space="0" w:color="A6A6A6"/>
          <w:right w:val="nil"/>
          <w:insideH w:val="single" w:sz="4" w:space="0" w:color="A6A6A6"/>
          <w:insideV w:val="nil"/>
        </w:tblBorders>
        <w:tblLayout w:type="fixed"/>
        <w:tblLook w:val="04A0" w:firstRow="1" w:lastRow="0" w:firstColumn="1" w:lastColumn="0" w:noHBand="0" w:noVBand="1"/>
      </w:tblPr>
      <w:tblGrid>
        <w:gridCol w:w="1440"/>
        <w:gridCol w:w="3024"/>
        <w:gridCol w:w="3024"/>
        <w:gridCol w:w="6480"/>
      </w:tblGrid>
      <w:tr w:rsidR="00313C50" w14:paraId="1E1FD977" w14:textId="77777777">
        <w:trPr>
          <w:cantSplit/>
          <w:tblHeader/>
          <w:jc w:val="center"/>
        </w:trPr>
        <w:tc>
          <w:tcPr>
            <w:tcW w:w="1440" w:type="dxa"/>
            <w:shd w:val="clear" w:color="auto" w:fill="E7E6E6"/>
            <w:tcMar>
              <w:top w:w="85" w:type="dxa"/>
              <w:left w:w="85" w:type="dxa"/>
              <w:bottom w:w="85" w:type="dxa"/>
              <w:right w:w="85" w:type="dxa"/>
            </w:tcMar>
            <w:vAlign w:val="center"/>
          </w:tcPr>
          <w:p w14:paraId="550F3D45" w14:textId="77777777" w:rsidR="00313C50" w:rsidRDefault="00000000">
            <w:pPr>
              <w:spacing w:before="60" w:after="60" w:line="252" w:lineRule="auto"/>
            </w:pPr>
            <w:r>
              <w:rPr>
                <w:b/>
              </w:rPr>
              <w:t>Records</w:t>
            </w:r>
          </w:p>
        </w:tc>
        <w:tc>
          <w:tcPr>
            <w:tcW w:w="3024" w:type="dxa"/>
            <w:shd w:val="clear" w:color="auto" w:fill="E7E6E6"/>
            <w:tcMar>
              <w:top w:w="85" w:type="dxa"/>
              <w:left w:w="85" w:type="dxa"/>
              <w:bottom w:w="85" w:type="dxa"/>
              <w:right w:w="85" w:type="dxa"/>
            </w:tcMar>
            <w:vAlign w:val="center"/>
          </w:tcPr>
          <w:p w14:paraId="44AE52A3" w14:textId="77777777" w:rsidR="00313C50" w:rsidRDefault="00000000">
            <w:pPr>
              <w:spacing w:before="60" w:after="60" w:line="252" w:lineRule="auto"/>
            </w:pPr>
            <w:r>
              <w:rPr>
                <w:b/>
              </w:rPr>
              <w:t>Source term or version</w:t>
            </w:r>
          </w:p>
        </w:tc>
        <w:tc>
          <w:tcPr>
            <w:tcW w:w="3024" w:type="dxa"/>
            <w:shd w:val="clear" w:color="auto" w:fill="E7E6E6"/>
            <w:tcMar>
              <w:top w:w="85" w:type="dxa"/>
              <w:left w:w="85" w:type="dxa"/>
              <w:bottom w:w="85" w:type="dxa"/>
              <w:right w:w="85" w:type="dxa"/>
            </w:tcMar>
            <w:vAlign w:val="center"/>
          </w:tcPr>
          <w:p w14:paraId="6EA5177F" w14:textId="77777777" w:rsidR="00313C50" w:rsidRDefault="00000000">
            <w:pPr>
              <w:spacing w:before="60" w:after="60" w:line="252" w:lineRule="auto"/>
            </w:pPr>
            <w:r>
              <w:rPr>
                <w:b/>
              </w:rPr>
              <w:t>Rendering used</w:t>
            </w:r>
          </w:p>
        </w:tc>
        <w:tc>
          <w:tcPr>
            <w:tcW w:w="6480" w:type="dxa"/>
            <w:shd w:val="clear" w:color="auto" w:fill="E7E6E6"/>
            <w:tcMar>
              <w:top w:w="85" w:type="dxa"/>
              <w:left w:w="85" w:type="dxa"/>
              <w:bottom w:w="85" w:type="dxa"/>
              <w:right w:w="85" w:type="dxa"/>
            </w:tcMar>
            <w:vAlign w:val="center"/>
          </w:tcPr>
          <w:p w14:paraId="4E834CA3" w14:textId="77777777" w:rsidR="00313C50" w:rsidRDefault="00000000">
            <w:pPr>
              <w:spacing w:before="60" w:after="60" w:line="252" w:lineRule="auto"/>
            </w:pPr>
            <w:r>
              <w:rPr>
                <w:b/>
              </w:rPr>
              <w:t>Interpretive decision</w:t>
            </w:r>
          </w:p>
        </w:tc>
      </w:tr>
      <w:tr w:rsidR="00313C50" w14:paraId="5A01FD04" w14:textId="77777777">
        <w:trPr>
          <w:cantSplit/>
          <w:jc w:val="center"/>
        </w:trPr>
        <w:tc>
          <w:tcPr>
            <w:tcW w:w="1440" w:type="dxa"/>
            <w:tcMar>
              <w:top w:w="85" w:type="dxa"/>
              <w:left w:w="85" w:type="dxa"/>
              <w:bottom w:w="85" w:type="dxa"/>
              <w:right w:w="85" w:type="dxa"/>
            </w:tcMar>
            <w:vAlign w:val="center"/>
          </w:tcPr>
          <w:p w14:paraId="46E67250" w14:textId="77777777" w:rsidR="00313C50" w:rsidRDefault="00000000">
            <w:pPr>
              <w:spacing w:before="60" w:after="60" w:line="252" w:lineRule="auto"/>
            </w:pPr>
            <w:r>
              <w:t>JP02–JP03</w:t>
            </w:r>
          </w:p>
        </w:tc>
        <w:tc>
          <w:tcPr>
            <w:tcW w:w="3024" w:type="dxa"/>
            <w:tcMar>
              <w:top w:w="85" w:type="dxa"/>
              <w:left w:w="85" w:type="dxa"/>
              <w:bottom w:w="85" w:type="dxa"/>
              <w:right w:w="85" w:type="dxa"/>
            </w:tcMar>
            <w:vAlign w:val="center"/>
          </w:tcPr>
          <w:p w14:paraId="11BC36DD" w14:textId="77777777" w:rsidR="00313C50" w:rsidRDefault="00000000">
            <w:pPr>
              <w:spacing w:before="60" w:after="60" w:line="252" w:lineRule="auto"/>
            </w:pPr>
            <w:r>
              <w:t>外国人患者受入れ</w:t>
            </w:r>
          </w:p>
        </w:tc>
        <w:tc>
          <w:tcPr>
            <w:tcW w:w="3024" w:type="dxa"/>
            <w:tcMar>
              <w:top w:w="85" w:type="dxa"/>
              <w:left w:w="85" w:type="dxa"/>
              <w:bottom w:w="85" w:type="dxa"/>
              <w:right w:w="85" w:type="dxa"/>
            </w:tcMar>
            <w:vAlign w:val="center"/>
          </w:tcPr>
          <w:p w14:paraId="7C9180EB" w14:textId="77777777" w:rsidR="00313C50" w:rsidRDefault="00000000">
            <w:pPr>
              <w:spacing w:before="60" w:after="60" w:line="252" w:lineRule="auto"/>
            </w:pPr>
            <w:r>
              <w:t>Reception of foreign patients</w:t>
            </w:r>
          </w:p>
        </w:tc>
        <w:tc>
          <w:tcPr>
            <w:tcW w:w="6480" w:type="dxa"/>
            <w:tcMar>
              <w:top w:w="85" w:type="dxa"/>
              <w:left w:w="85" w:type="dxa"/>
              <w:bottom w:w="85" w:type="dxa"/>
              <w:right w:w="85" w:type="dxa"/>
            </w:tcMar>
            <w:vAlign w:val="center"/>
          </w:tcPr>
          <w:p w14:paraId="750B9FE5" w14:textId="77777777" w:rsidR="00313C50" w:rsidRDefault="00000000">
            <w:pPr>
              <w:spacing w:before="60" w:after="60" w:line="252" w:lineRule="auto"/>
            </w:pPr>
            <w:r>
              <w:t>Retained “foreign patients”; did not convert to “medical tourists”, because the category includes resident foreigners.</w:t>
            </w:r>
          </w:p>
        </w:tc>
      </w:tr>
      <w:tr w:rsidR="00313C50" w14:paraId="03E84F12" w14:textId="77777777">
        <w:trPr>
          <w:cantSplit/>
          <w:jc w:val="center"/>
        </w:trPr>
        <w:tc>
          <w:tcPr>
            <w:tcW w:w="1440" w:type="dxa"/>
            <w:tcMar>
              <w:top w:w="85" w:type="dxa"/>
              <w:left w:w="85" w:type="dxa"/>
              <w:bottom w:w="85" w:type="dxa"/>
              <w:right w:w="85" w:type="dxa"/>
            </w:tcMar>
            <w:vAlign w:val="center"/>
          </w:tcPr>
          <w:p w14:paraId="195460CA" w14:textId="77777777" w:rsidR="00313C50" w:rsidRDefault="00000000">
            <w:pPr>
              <w:spacing w:before="60" w:after="60" w:line="252" w:lineRule="auto"/>
            </w:pPr>
            <w:r>
              <w:t>KR03–KR04</w:t>
            </w:r>
          </w:p>
        </w:tc>
        <w:tc>
          <w:tcPr>
            <w:tcW w:w="3024" w:type="dxa"/>
            <w:tcMar>
              <w:top w:w="85" w:type="dxa"/>
              <w:left w:w="85" w:type="dxa"/>
              <w:bottom w:w="85" w:type="dxa"/>
              <w:right w:w="85" w:type="dxa"/>
            </w:tcMar>
            <w:vAlign w:val="center"/>
          </w:tcPr>
          <w:p w14:paraId="5511F328" w14:textId="77777777" w:rsidR="00313C50" w:rsidRDefault="00000000">
            <w:pPr>
              <w:spacing w:before="60" w:after="60" w:line="252" w:lineRule="auto"/>
            </w:pPr>
            <w:r>
              <w:t>실환자</w:t>
            </w:r>
            <w:r>
              <w:t xml:space="preserve"> / </w:t>
            </w:r>
            <w:r>
              <w:t>연환자</w:t>
            </w:r>
          </w:p>
        </w:tc>
        <w:tc>
          <w:tcPr>
            <w:tcW w:w="3024" w:type="dxa"/>
            <w:tcMar>
              <w:top w:w="85" w:type="dxa"/>
              <w:left w:w="85" w:type="dxa"/>
              <w:bottom w:w="85" w:type="dxa"/>
              <w:right w:w="85" w:type="dxa"/>
            </w:tcMar>
            <w:vAlign w:val="center"/>
          </w:tcPr>
          <w:p w14:paraId="2CAA3434" w14:textId="77777777" w:rsidR="00313C50" w:rsidRDefault="00000000">
            <w:pPr>
              <w:spacing w:before="60" w:after="60" w:line="252" w:lineRule="auto"/>
            </w:pPr>
            <w:r>
              <w:t>Patients / patient attendances</w:t>
            </w:r>
          </w:p>
        </w:tc>
        <w:tc>
          <w:tcPr>
            <w:tcW w:w="6480" w:type="dxa"/>
            <w:tcMar>
              <w:top w:w="85" w:type="dxa"/>
              <w:left w:w="85" w:type="dxa"/>
              <w:bottom w:w="85" w:type="dxa"/>
              <w:right w:w="85" w:type="dxa"/>
            </w:tcMar>
            <w:vAlign w:val="center"/>
          </w:tcPr>
          <w:p w14:paraId="18A16D3C" w14:textId="77777777" w:rsidR="00313C50" w:rsidRDefault="00000000">
            <w:pPr>
              <w:spacing w:before="60" w:after="60" w:line="252" w:lineRule="auto"/>
            </w:pPr>
            <w:r>
              <w:t>Kept 2025 totals separate; did not merge patient and attendance counts or specialty counts.</w:t>
            </w:r>
          </w:p>
        </w:tc>
      </w:tr>
      <w:tr w:rsidR="00313C50" w14:paraId="708B521E" w14:textId="77777777">
        <w:trPr>
          <w:cantSplit/>
          <w:jc w:val="center"/>
        </w:trPr>
        <w:tc>
          <w:tcPr>
            <w:tcW w:w="1440" w:type="dxa"/>
            <w:tcMar>
              <w:top w:w="85" w:type="dxa"/>
              <w:left w:w="85" w:type="dxa"/>
              <w:bottom w:w="85" w:type="dxa"/>
              <w:right w:w="85" w:type="dxa"/>
            </w:tcMar>
            <w:vAlign w:val="center"/>
          </w:tcPr>
          <w:p w14:paraId="022E28D4" w14:textId="77777777" w:rsidR="00313C50" w:rsidRDefault="00000000">
            <w:pPr>
              <w:spacing w:before="60" w:after="60" w:line="252" w:lineRule="auto"/>
            </w:pPr>
            <w:r>
              <w:t>CN01</w:t>
            </w:r>
          </w:p>
        </w:tc>
        <w:tc>
          <w:tcPr>
            <w:tcW w:w="3024" w:type="dxa"/>
            <w:tcMar>
              <w:top w:w="85" w:type="dxa"/>
              <w:left w:w="85" w:type="dxa"/>
              <w:bottom w:w="85" w:type="dxa"/>
              <w:right w:w="85" w:type="dxa"/>
            </w:tcMar>
            <w:vAlign w:val="center"/>
          </w:tcPr>
          <w:p w14:paraId="3FE104D6" w14:textId="77777777" w:rsidR="00313C50" w:rsidRDefault="00000000">
            <w:pPr>
              <w:spacing w:before="60" w:after="60" w:line="252" w:lineRule="auto"/>
            </w:pPr>
            <w:r>
              <w:t>外籍和港澳台住院患者</w:t>
            </w:r>
          </w:p>
        </w:tc>
        <w:tc>
          <w:tcPr>
            <w:tcW w:w="3024" w:type="dxa"/>
            <w:tcMar>
              <w:top w:w="85" w:type="dxa"/>
              <w:left w:w="85" w:type="dxa"/>
              <w:bottom w:w="85" w:type="dxa"/>
              <w:right w:w="85" w:type="dxa"/>
            </w:tcMar>
            <w:vAlign w:val="center"/>
          </w:tcPr>
          <w:p w14:paraId="36836BF3" w14:textId="77777777" w:rsidR="00313C50" w:rsidRDefault="00000000">
            <w:pPr>
              <w:spacing w:before="60" w:after="60" w:line="252" w:lineRule="auto"/>
            </w:pPr>
            <w:r>
              <w:t>Foreign, Hong Kong, Macao and Taiwan inpatients</w:t>
            </w:r>
          </w:p>
        </w:tc>
        <w:tc>
          <w:tcPr>
            <w:tcW w:w="6480" w:type="dxa"/>
            <w:tcMar>
              <w:top w:w="85" w:type="dxa"/>
              <w:left w:w="85" w:type="dxa"/>
              <w:bottom w:w="85" w:type="dxa"/>
              <w:right w:w="85" w:type="dxa"/>
            </w:tcMar>
            <w:vAlign w:val="center"/>
          </w:tcPr>
          <w:p w14:paraId="6AD10A76" w14:textId="77777777" w:rsidR="00313C50" w:rsidRDefault="00000000">
            <w:pPr>
              <w:spacing w:before="60" w:after="60" w:line="252" w:lineRule="auto"/>
            </w:pPr>
            <w:r>
              <w:t>Nationality/origin category does not identify non-residence or medical purpose of travel.</w:t>
            </w:r>
          </w:p>
        </w:tc>
      </w:tr>
      <w:tr w:rsidR="00313C50" w14:paraId="09A00AEF" w14:textId="77777777">
        <w:trPr>
          <w:cantSplit/>
          <w:jc w:val="center"/>
        </w:trPr>
        <w:tc>
          <w:tcPr>
            <w:tcW w:w="1440" w:type="dxa"/>
            <w:tcMar>
              <w:top w:w="85" w:type="dxa"/>
              <w:left w:w="85" w:type="dxa"/>
              <w:bottom w:w="85" w:type="dxa"/>
              <w:right w:w="85" w:type="dxa"/>
            </w:tcMar>
            <w:vAlign w:val="center"/>
          </w:tcPr>
          <w:p w14:paraId="2BDA2F7A" w14:textId="77777777" w:rsidR="00313C50" w:rsidRDefault="00000000">
            <w:pPr>
              <w:spacing w:before="60" w:after="60" w:line="252" w:lineRule="auto"/>
            </w:pPr>
            <w:r>
              <w:t>CN02</w:t>
            </w:r>
          </w:p>
        </w:tc>
        <w:tc>
          <w:tcPr>
            <w:tcW w:w="3024" w:type="dxa"/>
            <w:tcMar>
              <w:top w:w="85" w:type="dxa"/>
              <w:left w:w="85" w:type="dxa"/>
              <w:bottom w:w="85" w:type="dxa"/>
              <w:right w:w="85" w:type="dxa"/>
            </w:tcMar>
            <w:vAlign w:val="center"/>
          </w:tcPr>
          <w:p w14:paraId="6C5C286B" w14:textId="77777777" w:rsidR="00313C50" w:rsidRDefault="00000000">
            <w:pPr>
              <w:spacing w:before="60" w:after="60" w:line="252" w:lineRule="auto"/>
            </w:pPr>
            <w:r>
              <w:t>鼓励</w:t>
            </w:r>
            <w:r>
              <w:t xml:space="preserve"> / </w:t>
            </w:r>
            <w:r>
              <w:t>建立</w:t>
            </w:r>
          </w:p>
        </w:tc>
        <w:tc>
          <w:tcPr>
            <w:tcW w:w="3024" w:type="dxa"/>
            <w:tcMar>
              <w:top w:w="85" w:type="dxa"/>
              <w:left w:w="85" w:type="dxa"/>
              <w:bottom w:w="85" w:type="dxa"/>
              <w:right w:w="85" w:type="dxa"/>
            </w:tcMar>
            <w:vAlign w:val="center"/>
          </w:tcPr>
          <w:p w14:paraId="26878D8E" w14:textId="77777777" w:rsidR="00313C50" w:rsidRDefault="00000000">
            <w:pPr>
              <w:spacing w:before="60" w:after="60" w:line="252" w:lineRule="auto"/>
            </w:pPr>
            <w:r>
              <w:t>Encourage / establish</w:t>
            </w:r>
          </w:p>
        </w:tc>
        <w:tc>
          <w:tcPr>
            <w:tcW w:w="6480" w:type="dxa"/>
            <w:tcMar>
              <w:top w:w="85" w:type="dxa"/>
              <w:left w:w="85" w:type="dxa"/>
              <w:bottom w:w="85" w:type="dxa"/>
              <w:right w:w="85" w:type="dxa"/>
            </w:tcMar>
            <w:vAlign w:val="center"/>
          </w:tcPr>
          <w:p w14:paraId="394E3DA7" w14:textId="77777777" w:rsidR="00313C50" w:rsidRDefault="00000000">
            <w:pPr>
              <w:spacing w:before="60" w:after="60" w:line="252" w:lineRule="auto"/>
            </w:pPr>
            <w:r>
              <w:t>Preserved policy force in context; encouragement was not reported as universal implementation.</w:t>
            </w:r>
          </w:p>
        </w:tc>
      </w:tr>
      <w:tr w:rsidR="00313C50" w14:paraId="25733195" w14:textId="77777777">
        <w:trPr>
          <w:cantSplit/>
          <w:jc w:val="center"/>
        </w:trPr>
        <w:tc>
          <w:tcPr>
            <w:tcW w:w="1440" w:type="dxa"/>
            <w:tcMar>
              <w:top w:w="85" w:type="dxa"/>
              <w:left w:w="85" w:type="dxa"/>
              <w:bottom w:w="85" w:type="dxa"/>
              <w:right w:w="85" w:type="dxa"/>
            </w:tcMar>
            <w:vAlign w:val="center"/>
          </w:tcPr>
          <w:p w14:paraId="5BD02F71" w14:textId="77777777" w:rsidR="00313C50" w:rsidRDefault="00000000">
            <w:pPr>
              <w:spacing w:before="60" w:after="60" w:line="252" w:lineRule="auto"/>
            </w:pPr>
            <w:r>
              <w:t>CN04</w:t>
            </w:r>
          </w:p>
        </w:tc>
        <w:tc>
          <w:tcPr>
            <w:tcW w:w="3024" w:type="dxa"/>
            <w:tcMar>
              <w:top w:w="85" w:type="dxa"/>
              <w:left w:w="85" w:type="dxa"/>
              <w:bottom w:w="85" w:type="dxa"/>
              <w:right w:w="85" w:type="dxa"/>
            </w:tcMar>
            <w:vAlign w:val="center"/>
          </w:tcPr>
          <w:p w14:paraId="5CB8D9DE" w14:textId="77777777" w:rsidR="00313C50" w:rsidRDefault="00000000">
            <w:pPr>
              <w:spacing w:before="60" w:after="60" w:line="252" w:lineRule="auto"/>
            </w:pPr>
            <w:r>
              <w:t>人次</w:t>
            </w:r>
          </w:p>
        </w:tc>
        <w:tc>
          <w:tcPr>
            <w:tcW w:w="3024" w:type="dxa"/>
            <w:tcMar>
              <w:top w:w="85" w:type="dxa"/>
              <w:left w:w="85" w:type="dxa"/>
              <w:bottom w:w="85" w:type="dxa"/>
              <w:right w:w="85" w:type="dxa"/>
            </w:tcMar>
            <w:vAlign w:val="center"/>
          </w:tcPr>
          <w:p w14:paraId="3A8AEEFE" w14:textId="77777777" w:rsidR="00313C50" w:rsidRDefault="00000000">
            <w:pPr>
              <w:spacing w:before="60" w:after="60" w:line="252" w:lineRule="auto"/>
            </w:pPr>
            <w:r>
              <w:t>Visits or use episodes</w:t>
            </w:r>
          </w:p>
        </w:tc>
        <w:tc>
          <w:tcPr>
            <w:tcW w:w="6480" w:type="dxa"/>
            <w:tcMar>
              <w:top w:w="85" w:type="dxa"/>
              <w:left w:w="85" w:type="dxa"/>
              <w:bottom w:w="85" w:type="dxa"/>
              <w:right w:w="85" w:type="dxa"/>
            </w:tcMar>
            <w:vAlign w:val="center"/>
          </w:tcPr>
          <w:p w14:paraId="7EFF5BD7" w14:textId="77777777" w:rsidR="00313C50" w:rsidRDefault="00000000">
            <w:pPr>
              <w:spacing w:before="60" w:after="60" w:line="252" w:lineRule="auto"/>
            </w:pPr>
            <w:r>
              <w:t>Did not translate as unique people or inbound medical travellers.</w:t>
            </w:r>
          </w:p>
        </w:tc>
      </w:tr>
      <w:tr w:rsidR="00313C50" w14:paraId="3AEE09A5" w14:textId="77777777">
        <w:trPr>
          <w:cantSplit/>
          <w:jc w:val="center"/>
        </w:trPr>
        <w:tc>
          <w:tcPr>
            <w:tcW w:w="1440" w:type="dxa"/>
            <w:tcMar>
              <w:top w:w="85" w:type="dxa"/>
              <w:left w:w="85" w:type="dxa"/>
              <w:bottom w:w="85" w:type="dxa"/>
              <w:right w:w="85" w:type="dxa"/>
            </w:tcMar>
            <w:vAlign w:val="center"/>
          </w:tcPr>
          <w:p w14:paraId="4F41D8F3" w14:textId="77777777" w:rsidR="00313C50" w:rsidRDefault="00000000">
            <w:pPr>
              <w:spacing w:before="60" w:after="60" w:line="252" w:lineRule="auto"/>
            </w:pPr>
            <w:r>
              <w:t>CN05</w:t>
            </w:r>
          </w:p>
        </w:tc>
        <w:tc>
          <w:tcPr>
            <w:tcW w:w="3024" w:type="dxa"/>
            <w:tcMar>
              <w:top w:w="85" w:type="dxa"/>
              <w:left w:w="85" w:type="dxa"/>
              <w:bottom w:w="85" w:type="dxa"/>
              <w:right w:w="85" w:type="dxa"/>
            </w:tcMar>
            <w:vAlign w:val="center"/>
          </w:tcPr>
          <w:p w14:paraId="2C2CC87B" w14:textId="77777777" w:rsidR="00313C50" w:rsidRDefault="00000000">
            <w:pPr>
              <w:spacing w:before="60" w:after="60" w:line="252" w:lineRule="auto"/>
            </w:pPr>
            <w:r>
              <w:t>应当</w:t>
            </w:r>
            <w:r>
              <w:t xml:space="preserve"> / </w:t>
            </w:r>
            <w:r>
              <w:t>鼓励</w:t>
            </w:r>
          </w:p>
        </w:tc>
        <w:tc>
          <w:tcPr>
            <w:tcW w:w="3024" w:type="dxa"/>
            <w:tcMar>
              <w:top w:w="85" w:type="dxa"/>
              <w:left w:w="85" w:type="dxa"/>
              <w:bottom w:w="85" w:type="dxa"/>
              <w:right w:w="85" w:type="dxa"/>
            </w:tcMar>
            <w:vAlign w:val="center"/>
          </w:tcPr>
          <w:p w14:paraId="4D13E73B" w14:textId="77777777" w:rsidR="00313C50" w:rsidRDefault="00000000">
            <w:pPr>
              <w:spacing w:before="60" w:after="60" w:line="252" w:lineRule="auto"/>
            </w:pPr>
            <w:r>
              <w:t>Shall or must / encourage</w:t>
            </w:r>
          </w:p>
        </w:tc>
        <w:tc>
          <w:tcPr>
            <w:tcW w:w="6480" w:type="dxa"/>
            <w:tcMar>
              <w:top w:w="85" w:type="dxa"/>
              <w:left w:w="85" w:type="dxa"/>
              <w:bottom w:w="85" w:type="dxa"/>
              <w:right w:w="85" w:type="dxa"/>
            </w:tcMar>
            <w:vAlign w:val="center"/>
          </w:tcPr>
          <w:p w14:paraId="0F9AA664" w14:textId="77777777" w:rsidR="00313C50" w:rsidRDefault="00000000">
            <w:pPr>
              <w:spacing w:before="60" w:after="60" w:line="252" w:lineRule="auto"/>
            </w:pPr>
            <w:r>
              <w:t>Distinguished provider obligations from encouraged insurance arrangements; no claim of universal coverage.</w:t>
            </w:r>
          </w:p>
        </w:tc>
      </w:tr>
      <w:tr w:rsidR="00313C50" w14:paraId="31347FEF" w14:textId="77777777">
        <w:trPr>
          <w:cantSplit/>
          <w:jc w:val="center"/>
        </w:trPr>
        <w:tc>
          <w:tcPr>
            <w:tcW w:w="1440" w:type="dxa"/>
            <w:tcMar>
              <w:top w:w="85" w:type="dxa"/>
              <w:left w:w="85" w:type="dxa"/>
              <w:bottom w:w="85" w:type="dxa"/>
              <w:right w:w="85" w:type="dxa"/>
            </w:tcMar>
            <w:vAlign w:val="center"/>
          </w:tcPr>
          <w:p w14:paraId="58F4C513" w14:textId="77777777" w:rsidR="00313C50" w:rsidRDefault="00000000">
            <w:pPr>
              <w:spacing w:before="60" w:after="60" w:line="252" w:lineRule="auto"/>
            </w:pPr>
            <w:r>
              <w:t>TH02</w:t>
            </w:r>
          </w:p>
        </w:tc>
        <w:tc>
          <w:tcPr>
            <w:tcW w:w="3024" w:type="dxa"/>
            <w:tcMar>
              <w:top w:w="85" w:type="dxa"/>
              <w:left w:w="85" w:type="dxa"/>
              <w:bottom w:w="85" w:type="dxa"/>
              <w:right w:w="85" w:type="dxa"/>
            </w:tcMar>
            <w:vAlign w:val="center"/>
          </w:tcPr>
          <w:p w14:paraId="41394457" w14:textId="77777777" w:rsidR="00313C50" w:rsidRDefault="00000000">
            <w:pPr>
              <w:spacing w:before="60" w:after="60" w:line="252" w:lineRule="auto"/>
            </w:pPr>
            <w:r>
              <w:t>Issuer’s English version marked Translation</w:t>
            </w:r>
          </w:p>
        </w:tc>
        <w:tc>
          <w:tcPr>
            <w:tcW w:w="3024" w:type="dxa"/>
            <w:tcMar>
              <w:top w:w="85" w:type="dxa"/>
              <w:left w:w="85" w:type="dxa"/>
              <w:bottom w:w="85" w:type="dxa"/>
              <w:right w:w="85" w:type="dxa"/>
            </w:tcMar>
            <w:vAlign w:val="center"/>
          </w:tcPr>
          <w:p w14:paraId="4CFFA0A9" w14:textId="77777777" w:rsidR="00313C50" w:rsidRDefault="00000000">
            <w:pPr>
              <w:spacing w:before="60" w:after="60" w:line="252" w:lineRule="auto"/>
            </w:pPr>
            <w:r>
              <w:t>Official English translation used</w:t>
            </w:r>
          </w:p>
        </w:tc>
        <w:tc>
          <w:tcPr>
            <w:tcW w:w="6480" w:type="dxa"/>
            <w:tcMar>
              <w:top w:w="85" w:type="dxa"/>
              <w:left w:w="85" w:type="dxa"/>
              <w:bottom w:w="85" w:type="dxa"/>
              <w:right w:w="85" w:type="dxa"/>
            </w:tcMar>
            <w:vAlign w:val="center"/>
          </w:tcPr>
          <w:p w14:paraId="05C3522F" w14:textId="77777777" w:rsidR="00313C50" w:rsidRDefault="00000000">
            <w:pPr>
              <w:spacing w:before="60" w:after="60" w:line="252" w:lineRule="auto"/>
            </w:pPr>
            <w:r>
              <w:t>Verified document identity and the scope of cited sections. No independent Thai-language validation claimed.</w:t>
            </w:r>
          </w:p>
        </w:tc>
      </w:tr>
    </w:tbl>
    <w:p w14:paraId="461CC9C4" w14:textId="77777777" w:rsidR="00313C50" w:rsidRDefault="00313C50">
      <w:pPr>
        <w:spacing w:after="0"/>
      </w:pPr>
    </w:p>
    <w:p w14:paraId="59754B27" w14:textId="77777777" w:rsidR="00313C50" w:rsidRPr="00C64F33" w:rsidRDefault="00000000" w:rsidP="00C64F33">
      <w:pPr>
        <w:spacing w:after="0"/>
        <w:rPr>
          <w:b/>
          <w:bCs/>
          <w:sz w:val="26"/>
          <w:szCs w:val="26"/>
        </w:rPr>
      </w:pPr>
      <w:r w:rsidRPr="00C64F33">
        <w:rPr>
          <w:b/>
          <w:bCs/>
          <w:sz w:val="26"/>
          <w:szCs w:val="26"/>
        </w:rPr>
        <w:t>Terminology used in the revised manuscript</w:t>
      </w:r>
    </w:p>
    <w:tbl>
      <w:tblPr>
        <w:tblW w:w="0" w:type="auto"/>
        <w:jc w:val="center"/>
        <w:tblBorders>
          <w:top w:val="single" w:sz="4" w:space="0" w:color="A6A6A6"/>
          <w:left w:val="nil"/>
          <w:bottom w:val="single" w:sz="4" w:space="0" w:color="A6A6A6"/>
          <w:right w:val="nil"/>
          <w:insideH w:val="single" w:sz="4" w:space="0" w:color="A6A6A6"/>
          <w:insideV w:val="nil"/>
        </w:tblBorders>
        <w:tblLayout w:type="fixed"/>
        <w:tblLook w:val="04A0" w:firstRow="1" w:lastRow="0" w:firstColumn="1" w:lastColumn="0" w:noHBand="0" w:noVBand="1"/>
      </w:tblPr>
      <w:tblGrid>
        <w:gridCol w:w="3312"/>
        <w:gridCol w:w="10656"/>
      </w:tblGrid>
      <w:tr w:rsidR="00313C50" w14:paraId="162BDD4D" w14:textId="77777777">
        <w:trPr>
          <w:cantSplit/>
          <w:tblHeader/>
          <w:jc w:val="center"/>
        </w:trPr>
        <w:tc>
          <w:tcPr>
            <w:tcW w:w="3312" w:type="dxa"/>
            <w:shd w:val="clear" w:color="auto" w:fill="E7E6E6"/>
            <w:tcMar>
              <w:top w:w="85" w:type="dxa"/>
              <w:left w:w="85" w:type="dxa"/>
              <w:bottom w:w="85" w:type="dxa"/>
              <w:right w:w="85" w:type="dxa"/>
            </w:tcMar>
            <w:vAlign w:val="center"/>
          </w:tcPr>
          <w:p w14:paraId="03D1070A" w14:textId="77777777" w:rsidR="00313C50" w:rsidRDefault="00000000">
            <w:pPr>
              <w:spacing w:before="60" w:after="60" w:line="252" w:lineRule="auto"/>
            </w:pPr>
            <w:r>
              <w:rPr>
                <w:b/>
              </w:rPr>
              <w:t>Term</w:t>
            </w:r>
          </w:p>
        </w:tc>
        <w:tc>
          <w:tcPr>
            <w:tcW w:w="10656" w:type="dxa"/>
            <w:shd w:val="clear" w:color="auto" w:fill="E7E6E6"/>
            <w:tcMar>
              <w:top w:w="85" w:type="dxa"/>
              <w:left w:w="85" w:type="dxa"/>
              <w:bottom w:w="85" w:type="dxa"/>
              <w:right w:w="85" w:type="dxa"/>
            </w:tcMar>
            <w:vAlign w:val="center"/>
          </w:tcPr>
          <w:p w14:paraId="0507C561" w14:textId="77777777" w:rsidR="00313C50" w:rsidRDefault="00000000">
            <w:pPr>
              <w:spacing w:before="60" w:after="60" w:line="252" w:lineRule="auto"/>
            </w:pPr>
            <w:r>
              <w:rPr>
                <w:b/>
              </w:rPr>
              <w:t>Definition and editorial decision</w:t>
            </w:r>
          </w:p>
        </w:tc>
      </w:tr>
      <w:tr w:rsidR="00313C50" w14:paraId="4D956259" w14:textId="77777777">
        <w:trPr>
          <w:cantSplit/>
          <w:jc w:val="center"/>
        </w:trPr>
        <w:tc>
          <w:tcPr>
            <w:tcW w:w="3312" w:type="dxa"/>
            <w:tcMar>
              <w:top w:w="85" w:type="dxa"/>
              <w:left w:w="85" w:type="dxa"/>
              <w:bottom w:w="85" w:type="dxa"/>
              <w:right w:w="85" w:type="dxa"/>
            </w:tcMar>
            <w:vAlign w:val="center"/>
          </w:tcPr>
          <w:p w14:paraId="2BD59C41" w14:textId="77777777" w:rsidR="00313C50" w:rsidRDefault="00000000">
            <w:pPr>
              <w:spacing w:before="60" w:after="60" w:line="252" w:lineRule="auto"/>
            </w:pPr>
            <w:r>
              <w:t>Medical tourism</w:t>
            </w:r>
          </w:p>
        </w:tc>
        <w:tc>
          <w:tcPr>
            <w:tcW w:w="10656" w:type="dxa"/>
            <w:tcMar>
              <w:top w:w="85" w:type="dxa"/>
              <w:left w:w="85" w:type="dxa"/>
              <w:bottom w:w="85" w:type="dxa"/>
              <w:right w:w="85" w:type="dxa"/>
            </w:tcMar>
            <w:vAlign w:val="center"/>
          </w:tcPr>
          <w:p w14:paraId="3CD835D1" w14:textId="77777777" w:rsidR="00313C50" w:rsidRDefault="00000000">
            <w:pPr>
              <w:spacing w:before="60" w:after="60" w:line="252" w:lineRule="auto"/>
            </w:pPr>
            <w:r>
              <w:t>Planned travel for healthcare outside the country of residence; not automatically equivalent to foreign-patient activity.</w:t>
            </w:r>
          </w:p>
        </w:tc>
      </w:tr>
      <w:tr w:rsidR="00313C50" w14:paraId="222DEF65" w14:textId="77777777">
        <w:trPr>
          <w:cantSplit/>
          <w:jc w:val="center"/>
        </w:trPr>
        <w:tc>
          <w:tcPr>
            <w:tcW w:w="3312" w:type="dxa"/>
            <w:tcMar>
              <w:top w:w="85" w:type="dxa"/>
              <w:left w:w="85" w:type="dxa"/>
              <w:bottom w:w="85" w:type="dxa"/>
              <w:right w:w="85" w:type="dxa"/>
            </w:tcMar>
            <w:vAlign w:val="center"/>
          </w:tcPr>
          <w:p w14:paraId="76EADED9" w14:textId="77777777" w:rsidR="00313C50" w:rsidRDefault="00000000">
            <w:pPr>
              <w:spacing w:before="60" w:after="60" w:line="252" w:lineRule="auto"/>
            </w:pPr>
            <w:r>
              <w:t>Cross-border healthcare</w:t>
            </w:r>
          </w:p>
        </w:tc>
        <w:tc>
          <w:tcPr>
            <w:tcW w:w="10656" w:type="dxa"/>
            <w:tcMar>
              <w:top w:w="85" w:type="dxa"/>
              <w:left w:w="85" w:type="dxa"/>
              <w:bottom w:w="85" w:type="dxa"/>
              <w:right w:w="85" w:type="dxa"/>
            </w:tcMar>
            <w:vAlign w:val="center"/>
          </w:tcPr>
          <w:p w14:paraId="2B7427F7" w14:textId="77777777" w:rsidR="00313C50" w:rsidRDefault="00000000">
            <w:pPr>
              <w:spacing w:before="60" w:after="60" w:line="252" w:lineRule="auto"/>
            </w:pPr>
            <w:r>
              <w:t>Broader context in which the medical tourism arrangements are examined.</w:t>
            </w:r>
          </w:p>
        </w:tc>
      </w:tr>
      <w:tr w:rsidR="00313C50" w14:paraId="0BF23253" w14:textId="77777777">
        <w:trPr>
          <w:cantSplit/>
          <w:jc w:val="center"/>
        </w:trPr>
        <w:tc>
          <w:tcPr>
            <w:tcW w:w="3312" w:type="dxa"/>
            <w:tcMar>
              <w:top w:w="85" w:type="dxa"/>
              <w:left w:w="85" w:type="dxa"/>
              <w:bottom w:w="85" w:type="dxa"/>
              <w:right w:w="85" w:type="dxa"/>
            </w:tcMar>
            <w:vAlign w:val="center"/>
          </w:tcPr>
          <w:p w14:paraId="5745C62A" w14:textId="77777777" w:rsidR="00313C50" w:rsidRDefault="00000000">
            <w:pPr>
              <w:spacing w:before="60" w:after="60" w:line="252" w:lineRule="auto"/>
            </w:pPr>
            <w:r>
              <w:t>Patient pathway</w:t>
            </w:r>
          </w:p>
        </w:tc>
        <w:tc>
          <w:tcPr>
            <w:tcW w:w="10656" w:type="dxa"/>
            <w:tcMar>
              <w:top w:w="85" w:type="dxa"/>
              <w:left w:w="85" w:type="dxa"/>
              <w:bottom w:w="85" w:type="dxa"/>
              <w:right w:w="85" w:type="dxa"/>
            </w:tcMar>
            <w:vAlign w:val="center"/>
          </w:tcPr>
          <w:p w14:paraId="2AD0163F" w14:textId="77777777" w:rsidR="00313C50" w:rsidRDefault="00000000">
            <w:pPr>
              <w:spacing w:before="60" w:after="60" w:line="252" w:lineRule="auto"/>
            </w:pPr>
            <w:r>
              <w:t>Stages and institutional transitions in care; replaces the earlier competitiveness-oriented “patient value chain”.</w:t>
            </w:r>
          </w:p>
        </w:tc>
      </w:tr>
      <w:tr w:rsidR="00313C50" w14:paraId="29E64A9C" w14:textId="77777777">
        <w:trPr>
          <w:cantSplit/>
          <w:jc w:val="center"/>
        </w:trPr>
        <w:tc>
          <w:tcPr>
            <w:tcW w:w="3312" w:type="dxa"/>
            <w:tcMar>
              <w:top w:w="85" w:type="dxa"/>
              <w:left w:w="85" w:type="dxa"/>
              <w:bottom w:w="85" w:type="dxa"/>
              <w:right w:w="85" w:type="dxa"/>
            </w:tcMar>
            <w:vAlign w:val="center"/>
          </w:tcPr>
          <w:p w14:paraId="65815FE9" w14:textId="77777777" w:rsidR="00313C50" w:rsidRDefault="00000000">
            <w:pPr>
              <w:spacing w:before="60" w:after="60" w:line="252" w:lineRule="auto"/>
            </w:pPr>
            <w:r>
              <w:lastRenderedPageBreak/>
              <w:t>Institutional information and accountability arrangements</w:t>
            </w:r>
          </w:p>
        </w:tc>
        <w:tc>
          <w:tcPr>
            <w:tcW w:w="10656" w:type="dxa"/>
            <w:tcMar>
              <w:top w:w="85" w:type="dxa"/>
              <w:left w:w="85" w:type="dxa"/>
              <w:bottom w:w="85" w:type="dxa"/>
              <w:right w:w="85" w:type="dxa"/>
            </w:tcMar>
            <w:vAlign w:val="center"/>
          </w:tcPr>
          <w:p w14:paraId="2F494B9B" w14:textId="77777777" w:rsidR="00313C50" w:rsidRDefault="00000000">
            <w:pPr>
              <w:spacing w:before="60" w:after="60" w:line="252" w:lineRule="auto"/>
            </w:pPr>
            <w:r>
              <w:t>Documents and instruments analysed by scope and authority; replaces the untested “trust-enabling” finding.</w:t>
            </w:r>
          </w:p>
        </w:tc>
      </w:tr>
      <w:tr w:rsidR="00313C50" w14:paraId="70F8D43A" w14:textId="77777777">
        <w:trPr>
          <w:cantSplit/>
          <w:jc w:val="center"/>
        </w:trPr>
        <w:tc>
          <w:tcPr>
            <w:tcW w:w="3312" w:type="dxa"/>
            <w:tcMar>
              <w:top w:w="85" w:type="dxa"/>
              <w:left w:w="85" w:type="dxa"/>
              <w:bottom w:w="85" w:type="dxa"/>
              <w:right w:w="85" w:type="dxa"/>
            </w:tcMar>
            <w:vAlign w:val="center"/>
          </w:tcPr>
          <w:p w14:paraId="02C8F939" w14:textId="77777777" w:rsidR="00313C50" w:rsidRDefault="00000000">
            <w:pPr>
              <w:spacing w:before="60" w:after="60" w:line="252" w:lineRule="auto"/>
            </w:pPr>
            <w:r>
              <w:t>Policy provision, reported activity and proposed implication</w:t>
            </w:r>
          </w:p>
        </w:tc>
        <w:tc>
          <w:tcPr>
            <w:tcW w:w="10656" w:type="dxa"/>
            <w:tcMar>
              <w:top w:w="85" w:type="dxa"/>
              <w:left w:w="85" w:type="dxa"/>
              <w:bottom w:w="85" w:type="dxa"/>
              <w:right w:w="85" w:type="dxa"/>
            </w:tcMar>
            <w:vAlign w:val="center"/>
          </w:tcPr>
          <w:p w14:paraId="730DBC2C" w14:textId="77777777" w:rsidR="00313C50" w:rsidRDefault="00000000">
            <w:pPr>
              <w:spacing w:before="60" w:after="60" w:line="252" w:lineRule="auto"/>
            </w:pPr>
            <w:r>
              <w:t>Distinct evidence categories used consistently in extraction and synthesis.</w:t>
            </w:r>
          </w:p>
        </w:tc>
      </w:tr>
    </w:tbl>
    <w:p w14:paraId="14F2A9BD" w14:textId="77777777" w:rsidR="00313C50" w:rsidRDefault="00313C50">
      <w:pPr>
        <w:spacing w:after="0"/>
      </w:pPr>
    </w:p>
    <w:p w14:paraId="3C666418" w14:textId="77777777" w:rsidR="00313C50" w:rsidRPr="00C64F33" w:rsidRDefault="00000000" w:rsidP="00C64F33">
      <w:pPr>
        <w:spacing w:after="0"/>
        <w:rPr>
          <w:b/>
          <w:bCs/>
          <w:sz w:val="26"/>
          <w:szCs w:val="26"/>
        </w:rPr>
      </w:pPr>
      <w:r w:rsidRPr="00C64F33">
        <w:rPr>
          <w:b/>
          <w:bCs/>
          <w:sz w:val="26"/>
          <w:szCs w:val="26"/>
        </w:rPr>
        <w:t>Table S3  Mapping the principal interpretations to the evidence</w:t>
      </w:r>
    </w:p>
    <w:tbl>
      <w:tblPr>
        <w:tblW w:w="0" w:type="auto"/>
        <w:jc w:val="center"/>
        <w:tblBorders>
          <w:top w:val="single" w:sz="4" w:space="0" w:color="A6A6A6"/>
          <w:left w:val="nil"/>
          <w:bottom w:val="single" w:sz="4" w:space="0" w:color="A6A6A6"/>
          <w:right w:val="nil"/>
          <w:insideH w:val="single" w:sz="4" w:space="0" w:color="A6A6A6"/>
          <w:insideV w:val="nil"/>
        </w:tblBorders>
        <w:tblLayout w:type="fixed"/>
        <w:tblLook w:val="04A0" w:firstRow="1" w:lastRow="0" w:firstColumn="1" w:lastColumn="0" w:noHBand="0" w:noVBand="1"/>
      </w:tblPr>
      <w:tblGrid>
        <w:gridCol w:w="3600"/>
        <w:gridCol w:w="3456"/>
        <w:gridCol w:w="2592"/>
        <w:gridCol w:w="4320"/>
      </w:tblGrid>
      <w:tr w:rsidR="00313C50" w14:paraId="1E1E06F2" w14:textId="77777777">
        <w:trPr>
          <w:cantSplit/>
          <w:tblHeader/>
          <w:jc w:val="center"/>
        </w:trPr>
        <w:tc>
          <w:tcPr>
            <w:tcW w:w="3600" w:type="dxa"/>
            <w:shd w:val="clear" w:color="auto" w:fill="E7E6E6"/>
            <w:tcMar>
              <w:top w:w="85" w:type="dxa"/>
              <w:left w:w="85" w:type="dxa"/>
              <w:bottom w:w="85" w:type="dxa"/>
              <w:right w:w="85" w:type="dxa"/>
            </w:tcMar>
            <w:vAlign w:val="center"/>
          </w:tcPr>
          <w:p w14:paraId="3F1ABB8B" w14:textId="77777777" w:rsidR="00313C50" w:rsidRDefault="00000000">
            <w:pPr>
              <w:spacing w:before="60" w:after="60" w:line="252" w:lineRule="auto"/>
            </w:pPr>
            <w:r>
              <w:rPr>
                <w:b/>
              </w:rPr>
              <w:t>Interpretation</w:t>
            </w:r>
          </w:p>
        </w:tc>
        <w:tc>
          <w:tcPr>
            <w:tcW w:w="3456" w:type="dxa"/>
            <w:shd w:val="clear" w:color="auto" w:fill="E7E6E6"/>
            <w:tcMar>
              <w:top w:w="85" w:type="dxa"/>
              <w:left w:w="85" w:type="dxa"/>
              <w:bottom w:w="85" w:type="dxa"/>
              <w:right w:w="85" w:type="dxa"/>
            </w:tcMar>
            <w:vAlign w:val="center"/>
          </w:tcPr>
          <w:p w14:paraId="7F99A0A1" w14:textId="77777777" w:rsidR="00313C50" w:rsidRDefault="00000000">
            <w:pPr>
              <w:spacing w:before="60" w:after="60" w:line="252" w:lineRule="auto"/>
            </w:pPr>
            <w:r>
              <w:rPr>
                <w:b/>
              </w:rPr>
              <w:t>Source records</w:t>
            </w:r>
          </w:p>
        </w:tc>
        <w:tc>
          <w:tcPr>
            <w:tcW w:w="2592" w:type="dxa"/>
            <w:shd w:val="clear" w:color="auto" w:fill="E7E6E6"/>
            <w:tcMar>
              <w:top w:w="85" w:type="dxa"/>
              <w:left w:w="85" w:type="dxa"/>
              <w:bottom w:w="85" w:type="dxa"/>
              <w:right w:w="85" w:type="dxa"/>
            </w:tcMar>
            <w:vAlign w:val="center"/>
          </w:tcPr>
          <w:p w14:paraId="43B43839" w14:textId="77777777" w:rsidR="00313C50" w:rsidRDefault="00000000">
            <w:pPr>
              <w:spacing w:before="60" w:after="60" w:line="252" w:lineRule="auto"/>
            </w:pPr>
            <w:r>
              <w:rPr>
                <w:b/>
              </w:rPr>
              <w:t>Manuscript location</w:t>
            </w:r>
          </w:p>
        </w:tc>
        <w:tc>
          <w:tcPr>
            <w:tcW w:w="4320" w:type="dxa"/>
            <w:shd w:val="clear" w:color="auto" w:fill="E7E6E6"/>
            <w:tcMar>
              <w:top w:w="85" w:type="dxa"/>
              <w:left w:w="85" w:type="dxa"/>
              <w:bottom w:w="85" w:type="dxa"/>
              <w:right w:w="85" w:type="dxa"/>
            </w:tcMar>
            <w:vAlign w:val="center"/>
          </w:tcPr>
          <w:p w14:paraId="73DDC6BC" w14:textId="77777777" w:rsidR="00313C50" w:rsidRDefault="00000000">
            <w:pPr>
              <w:spacing w:before="60" w:after="60" w:line="252" w:lineRule="auto"/>
            </w:pPr>
            <w:r>
              <w:rPr>
                <w:b/>
              </w:rPr>
              <w:t>Inference boundary</w:t>
            </w:r>
          </w:p>
        </w:tc>
      </w:tr>
      <w:tr w:rsidR="00313C50" w14:paraId="1C6931C6" w14:textId="77777777">
        <w:trPr>
          <w:cantSplit/>
          <w:jc w:val="center"/>
        </w:trPr>
        <w:tc>
          <w:tcPr>
            <w:tcW w:w="3600" w:type="dxa"/>
            <w:tcMar>
              <w:top w:w="85" w:type="dxa"/>
              <w:left w:w="85" w:type="dxa"/>
              <w:bottom w:w="85" w:type="dxa"/>
              <w:right w:w="85" w:type="dxa"/>
            </w:tcMar>
            <w:vAlign w:val="center"/>
          </w:tcPr>
          <w:p w14:paraId="00FD3414" w14:textId="77777777" w:rsidR="00313C50" w:rsidRDefault="00000000">
            <w:pPr>
              <w:spacing w:before="60" w:after="60" w:line="252" w:lineRule="auto"/>
            </w:pPr>
            <w:r>
              <w:t>Institutional arrangements differ</w:t>
            </w:r>
          </w:p>
        </w:tc>
        <w:tc>
          <w:tcPr>
            <w:tcW w:w="3456" w:type="dxa"/>
            <w:tcMar>
              <w:top w:w="85" w:type="dxa"/>
              <w:left w:w="85" w:type="dxa"/>
              <w:bottom w:w="85" w:type="dxa"/>
              <w:right w:w="85" w:type="dxa"/>
            </w:tcMar>
            <w:vAlign w:val="center"/>
          </w:tcPr>
          <w:p w14:paraId="0CC3A5A8" w14:textId="77777777" w:rsidR="00313C50" w:rsidRDefault="00000000">
            <w:pPr>
              <w:spacing w:before="60" w:after="60" w:line="252" w:lineRule="auto"/>
            </w:pPr>
            <w:r>
              <w:t>JP01–JP04; KR01–KR02; SG01–SG02; TH01–TH03; IN01–IN02, IN04–IN05</w:t>
            </w:r>
          </w:p>
        </w:tc>
        <w:tc>
          <w:tcPr>
            <w:tcW w:w="2592" w:type="dxa"/>
            <w:tcMar>
              <w:top w:w="85" w:type="dxa"/>
              <w:left w:w="85" w:type="dxa"/>
              <w:bottom w:w="85" w:type="dxa"/>
              <w:right w:w="85" w:type="dxa"/>
            </w:tcMar>
            <w:vAlign w:val="center"/>
          </w:tcPr>
          <w:p w14:paraId="48B6CEF6" w14:textId="77777777" w:rsidR="00313C50" w:rsidRDefault="00000000">
            <w:pPr>
              <w:spacing w:before="60" w:after="60" w:line="252" w:lineRule="auto"/>
            </w:pPr>
            <w:r>
              <w:t>Country Results and Table 3</w:t>
            </w:r>
          </w:p>
        </w:tc>
        <w:tc>
          <w:tcPr>
            <w:tcW w:w="4320" w:type="dxa"/>
            <w:tcMar>
              <w:top w:w="85" w:type="dxa"/>
              <w:left w:w="85" w:type="dxa"/>
              <w:bottom w:w="85" w:type="dxa"/>
              <w:right w:w="85" w:type="dxa"/>
            </w:tcMar>
            <w:vAlign w:val="center"/>
          </w:tcPr>
          <w:p w14:paraId="282E89CC" w14:textId="77777777" w:rsidR="00313C50" w:rsidRDefault="00000000">
            <w:pPr>
              <w:spacing w:before="60" w:after="60" w:line="252" w:lineRule="auto"/>
            </w:pPr>
            <w:r>
              <w:t>Comparative interpretation of documented functions; no ranking of national system quality.</w:t>
            </w:r>
          </w:p>
        </w:tc>
      </w:tr>
      <w:tr w:rsidR="00313C50" w14:paraId="7F3F9A16" w14:textId="77777777">
        <w:trPr>
          <w:cantSplit/>
          <w:jc w:val="center"/>
        </w:trPr>
        <w:tc>
          <w:tcPr>
            <w:tcW w:w="3600" w:type="dxa"/>
            <w:tcMar>
              <w:top w:w="85" w:type="dxa"/>
              <w:left w:w="85" w:type="dxa"/>
              <w:bottom w:w="85" w:type="dxa"/>
              <w:right w:w="85" w:type="dxa"/>
            </w:tcMar>
            <w:vAlign w:val="center"/>
          </w:tcPr>
          <w:p w14:paraId="0AA74A88" w14:textId="77777777" w:rsidR="00313C50" w:rsidRDefault="00000000">
            <w:pPr>
              <w:spacing w:before="60" w:after="60" w:line="252" w:lineRule="auto"/>
            </w:pPr>
            <w:r>
              <w:t>Information and authority differ</w:t>
            </w:r>
          </w:p>
        </w:tc>
        <w:tc>
          <w:tcPr>
            <w:tcW w:w="3456" w:type="dxa"/>
            <w:tcMar>
              <w:top w:w="85" w:type="dxa"/>
              <w:left w:w="85" w:type="dxa"/>
              <w:bottom w:w="85" w:type="dxa"/>
              <w:right w:w="85" w:type="dxa"/>
            </w:tcMar>
            <w:vAlign w:val="center"/>
          </w:tcPr>
          <w:p w14:paraId="4EE2EF77" w14:textId="77777777" w:rsidR="00313C50" w:rsidRDefault="00000000">
            <w:pPr>
              <w:spacing w:before="60" w:after="60" w:line="252" w:lineRule="auto"/>
            </w:pPr>
            <w:r>
              <w:t>JP02–JP04; KR01–KR02; TH02</w:t>
            </w:r>
          </w:p>
        </w:tc>
        <w:tc>
          <w:tcPr>
            <w:tcW w:w="2592" w:type="dxa"/>
            <w:tcMar>
              <w:top w:w="85" w:type="dxa"/>
              <w:left w:w="85" w:type="dxa"/>
              <w:bottom w:w="85" w:type="dxa"/>
              <w:right w:w="85" w:type="dxa"/>
            </w:tcMar>
            <w:vAlign w:val="center"/>
          </w:tcPr>
          <w:p w14:paraId="73097A93" w14:textId="77777777" w:rsidR="00313C50" w:rsidRDefault="00000000">
            <w:pPr>
              <w:spacing w:before="60" w:after="60" w:line="252" w:lineRule="auto"/>
            </w:pPr>
            <w:r>
              <w:t>Conceptual framework; pathway Results</w:t>
            </w:r>
          </w:p>
        </w:tc>
        <w:tc>
          <w:tcPr>
            <w:tcW w:w="4320" w:type="dxa"/>
            <w:tcMar>
              <w:top w:w="85" w:type="dxa"/>
              <w:left w:w="85" w:type="dxa"/>
              <w:bottom w:w="85" w:type="dxa"/>
              <w:right w:w="85" w:type="dxa"/>
            </w:tcMar>
            <w:vAlign w:val="center"/>
          </w:tcPr>
          <w:p w14:paraId="4DB04B25" w14:textId="77777777" w:rsidR="00313C50" w:rsidRDefault="00000000">
            <w:pPr>
              <w:spacing w:before="60" w:after="60" w:line="252" w:lineRule="auto"/>
            </w:pPr>
            <w:r>
              <w:t>A list, award, registration and insurance policy have different scopes; patient interpretation was not measured.</w:t>
            </w:r>
          </w:p>
        </w:tc>
      </w:tr>
      <w:tr w:rsidR="00313C50" w14:paraId="692100CA" w14:textId="77777777">
        <w:trPr>
          <w:cantSplit/>
          <w:jc w:val="center"/>
        </w:trPr>
        <w:tc>
          <w:tcPr>
            <w:tcW w:w="3600" w:type="dxa"/>
            <w:tcMar>
              <w:top w:w="85" w:type="dxa"/>
              <w:left w:w="85" w:type="dxa"/>
              <w:bottom w:w="85" w:type="dxa"/>
              <w:right w:w="85" w:type="dxa"/>
            </w:tcMar>
            <w:vAlign w:val="center"/>
          </w:tcPr>
          <w:p w14:paraId="4607416B" w14:textId="77777777" w:rsidR="00313C50" w:rsidRDefault="00000000">
            <w:pPr>
              <w:spacing w:before="60" w:after="60" w:line="252" w:lineRule="auto"/>
            </w:pPr>
            <w:r>
              <w:t>Insurers participate through distinct relationships</w:t>
            </w:r>
          </w:p>
        </w:tc>
        <w:tc>
          <w:tcPr>
            <w:tcW w:w="3456" w:type="dxa"/>
            <w:tcMar>
              <w:top w:w="85" w:type="dxa"/>
              <w:left w:w="85" w:type="dxa"/>
              <w:bottom w:w="85" w:type="dxa"/>
              <w:right w:w="85" w:type="dxa"/>
            </w:tcMar>
            <w:vAlign w:val="center"/>
          </w:tcPr>
          <w:p w14:paraId="1F65706D" w14:textId="77777777" w:rsidR="00313C50" w:rsidRDefault="00000000">
            <w:pPr>
              <w:spacing w:before="60" w:after="60" w:line="252" w:lineRule="auto"/>
            </w:pPr>
            <w:r>
              <w:t>KR01; TH03; IN02; CN02; CN05</w:t>
            </w:r>
          </w:p>
        </w:tc>
        <w:tc>
          <w:tcPr>
            <w:tcW w:w="2592" w:type="dxa"/>
            <w:tcMar>
              <w:top w:w="85" w:type="dxa"/>
              <w:left w:w="85" w:type="dxa"/>
              <w:bottom w:w="85" w:type="dxa"/>
              <w:right w:w="85" w:type="dxa"/>
            </w:tcMar>
            <w:vAlign w:val="center"/>
          </w:tcPr>
          <w:p w14:paraId="1196D52D" w14:textId="77777777" w:rsidR="00313C50" w:rsidRDefault="00000000">
            <w:pPr>
              <w:spacing w:before="60" w:after="60" w:line="252" w:lineRule="auto"/>
            </w:pPr>
            <w:r>
              <w:t>Payment discussion and Table 3</w:t>
            </w:r>
          </w:p>
        </w:tc>
        <w:tc>
          <w:tcPr>
            <w:tcW w:w="4320" w:type="dxa"/>
            <w:tcMar>
              <w:top w:w="85" w:type="dxa"/>
              <w:left w:w="85" w:type="dxa"/>
              <w:bottom w:w="85" w:type="dxa"/>
              <w:right w:w="85" w:type="dxa"/>
            </w:tcMar>
            <w:vAlign w:val="center"/>
          </w:tcPr>
          <w:p w14:paraId="627CCF13" w14:textId="77777777" w:rsidR="00313C50" w:rsidRDefault="00000000">
            <w:pPr>
              <w:spacing w:before="60" w:after="60" w:line="252" w:lineRule="auto"/>
            </w:pPr>
            <w:r>
              <w:t>Provider liability, benefit authorization and policy coordination are not equivalent forms of coverage.</w:t>
            </w:r>
          </w:p>
        </w:tc>
      </w:tr>
      <w:tr w:rsidR="00313C50" w14:paraId="56E08721" w14:textId="77777777">
        <w:trPr>
          <w:cantSplit/>
          <w:jc w:val="center"/>
        </w:trPr>
        <w:tc>
          <w:tcPr>
            <w:tcW w:w="3600" w:type="dxa"/>
            <w:tcMar>
              <w:top w:w="85" w:type="dxa"/>
              <w:left w:w="85" w:type="dxa"/>
              <w:bottom w:w="85" w:type="dxa"/>
              <w:right w:w="85" w:type="dxa"/>
            </w:tcMar>
            <w:vAlign w:val="center"/>
          </w:tcPr>
          <w:p w14:paraId="32282D03" w14:textId="77777777" w:rsidR="00313C50" w:rsidRDefault="00000000">
            <w:pPr>
              <w:spacing w:before="60" w:after="60" w:line="252" w:lineRule="auto"/>
            </w:pPr>
            <w:r>
              <w:t>Chinese documents specify safeguards and coordination instruments</w:t>
            </w:r>
          </w:p>
        </w:tc>
        <w:tc>
          <w:tcPr>
            <w:tcW w:w="3456" w:type="dxa"/>
            <w:tcMar>
              <w:top w:w="85" w:type="dxa"/>
              <w:left w:w="85" w:type="dxa"/>
              <w:bottom w:w="85" w:type="dxa"/>
              <w:right w:w="85" w:type="dxa"/>
            </w:tcMar>
            <w:vAlign w:val="center"/>
          </w:tcPr>
          <w:p w14:paraId="4A538795" w14:textId="77777777" w:rsidR="00313C50" w:rsidRDefault="00000000">
            <w:pPr>
              <w:spacing w:before="60" w:after="60" w:line="252" w:lineRule="auto"/>
            </w:pPr>
            <w:r>
              <w:t>CN02; CN05–CN06</w:t>
            </w:r>
          </w:p>
        </w:tc>
        <w:tc>
          <w:tcPr>
            <w:tcW w:w="2592" w:type="dxa"/>
            <w:tcMar>
              <w:top w:w="85" w:type="dxa"/>
              <w:left w:w="85" w:type="dxa"/>
              <w:bottom w:w="85" w:type="dxa"/>
              <w:right w:w="85" w:type="dxa"/>
            </w:tcMar>
            <w:vAlign w:val="center"/>
          </w:tcPr>
          <w:p w14:paraId="01854184" w14:textId="77777777" w:rsidR="00313C50" w:rsidRDefault="00000000">
            <w:pPr>
              <w:spacing w:before="60" w:after="60" w:line="252" w:lineRule="auto"/>
            </w:pPr>
            <w:r>
              <w:t>China Results and Table 4</w:t>
            </w:r>
          </w:p>
        </w:tc>
        <w:tc>
          <w:tcPr>
            <w:tcW w:w="4320" w:type="dxa"/>
            <w:tcMar>
              <w:top w:w="85" w:type="dxa"/>
              <w:left w:w="85" w:type="dxa"/>
              <w:bottom w:w="85" w:type="dxa"/>
              <w:right w:w="85" w:type="dxa"/>
            </w:tcMar>
            <w:vAlign w:val="center"/>
          </w:tcPr>
          <w:p w14:paraId="702F0505" w14:textId="77777777" w:rsidR="00313C50" w:rsidRDefault="00000000">
            <w:pPr>
              <w:spacing w:before="60" w:after="60" w:line="252" w:lineRule="auto"/>
            </w:pPr>
            <w:r>
              <w:t>Policy provisions established; implementation and effects require different data.</w:t>
            </w:r>
          </w:p>
        </w:tc>
      </w:tr>
      <w:tr w:rsidR="00313C50" w14:paraId="3ACFC92E" w14:textId="77777777">
        <w:trPr>
          <w:cantSplit/>
          <w:jc w:val="center"/>
        </w:trPr>
        <w:tc>
          <w:tcPr>
            <w:tcW w:w="3600" w:type="dxa"/>
            <w:tcMar>
              <w:top w:w="85" w:type="dxa"/>
              <w:left w:w="85" w:type="dxa"/>
              <w:bottom w:w="85" w:type="dxa"/>
              <w:right w:w="85" w:type="dxa"/>
            </w:tcMar>
            <w:vAlign w:val="center"/>
          </w:tcPr>
          <w:p w14:paraId="7EACDB2B" w14:textId="77777777" w:rsidR="00313C50" w:rsidRDefault="00000000">
            <w:pPr>
              <w:spacing w:before="60" w:after="60" w:line="252" w:lineRule="auto"/>
            </w:pPr>
            <w:r>
              <w:t>Activity figures do not define a comparable market</w:t>
            </w:r>
          </w:p>
        </w:tc>
        <w:tc>
          <w:tcPr>
            <w:tcW w:w="3456" w:type="dxa"/>
            <w:tcMar>
              <w:top w:w="85" w:type="dxa"/>
              <w:left w:w="85" w:type="dxa"/>
              <w:bottom w:w="85" w:type="dxa"/>
              <w:right w:w="85" w:type="dxa"/>
            </w:tcMar>
            <w:vAlign w:val="center"/>
          </w:tcPr>
          <w:p w14:paraId="48610D30" w14:textId="77777777" w:rsidR="00313C50" w:rsidRDefault="00000000">
            <w:pPr>
              <w:spacing w:before="60" w:after="60" w:line="252" w:lineRule="auto"/>
            </w:pPr>
            <w:r>
              <w:t>KR03–KR04; SG03; TH04; IN03; CN01; CN04</w:t>
            </w:r>
          </w:p>
        </w:tc>
        <w:tc>
          <w:tcPr>
            <w:tcW w:w="2592" w:type="dxa"/>
            <w:tcMar>
              <w:top w:w="85" w:type="dxa"/>
              <w:left w:w="85" w:type="dxa"/>
              <w:bottom w:w="85" w:type="dxa"/>
              <w:right w:w="85" w:type="dxa"/>
            </w:tcMar>
            <w:vAlign w:val="center"/>
          </w:tcPr>
          <w:p w14:paraId="4E43BAFC" w14:textId="77777777" w:rsidR="00313C50" w:rsidRDefault="00000000">
            <w:pPr>
              <w:spacing w:before="60" w:after="60" w:line="252" w:lineRule="auto"/>
            </w:pPr>
            <w:r>
              <w:t>Methods and Table 2</w:t>
            </w:r>
          </w:p>
        </w:tc>
        <w:tc>
          <w:tcPr>
            <w:tcW w:w="4320" w:type="dxa"/>
            <w:tcMar>
              <w:top w:w="85" w:type="dxa"/>
              <w:left w:w="85" w:type="dxa"/>
              <w:bottom w:w="85" w:type="dxa"/>
              <w:right w:w="85" w:type="dxa"/>
            </w:tcMar>
            <w:vAlign w:val="center"/>
          </w:tcPr>
          <w:p w14:paraId="17693981" w14:textId="77777777" w:rsidR="00313C50" w:rsidRDefault="00000000">
            <w:pPr>
              <w:spacing w:before="60" w:after="60" w:line="252" w:lineRule="auto"/>
            </w:pPr>
            <w:r>
              <w:t>Definitions differ; no pooled total, country ranking or implied causal relationship.</w:t>
            </w:r>
          </w:p>
        </w:tc>
      </w:tr>
      <w:tr w:rsidR="00313C50" w14:paraId="55F96DD7" w14:textId="77777777">
        <w:trPr>
          <w:cantSplit/>
          <w:jc w:val="center"/>
        </w:trPr>
        <w:tc>
          <w:tcPr>
            <w:tcW w:w="3600" w:type="dxa"/>
            <w:tcMar>
              <w:top w:w="85" w:type="dxa"/>
              <w:left w:w="85" w:type="dxa"/>
              <w:bottom w:w="85" w:type="dxa"/>
              <w:right w:w="85" w:type="dxa"/>
            </w:tcMar>
            <w:vAlign w:val="center"/>
          </w:tcPr>
          <w:p w14:paraId="5065AFD8" w14:textId="77777777" w:rsidR="00313C50" w:rsidRDefault="00000000">
            <w:pPr>
              <w:spacing w:before="60" w:after="60" w:line="252" w:lineRule="auto"/>
            </w:pPr>
            <w:r>
              <w:t>Domestic impacts and cross-border continuity remain unevaluated</w:t>
            </w:r>
          </w:p>
        </w:tc>
        <w:tc>
          <w:tcPr>
            <w:tcW w:w="3456" w:type="dxa"/>
            <w:tcMar>
              <w:top w:w="85" w:type="dxa"/>
              <w:left w:w="85" w:type="dxa"/>
              <w:bottom w:w="85" w:type="dxa"/>
              <w:right w:w="85" w:type="dxa"/>
            </w:tcMar>
            <w:vAlign w:val="center"/>
          </w:tcPr>
          <w:p w14:paraId="6817CBE8" w14:textId="77777777" w:rsidR="00313C50" w:rsidRDefault="00000000">
            <w:pPr>
              <w:spacing w:before="60" w:after="60" w:line="252" w:lineRule="auto"/>
            </w:pPr>
            <w:r>
              <w:t>Entire bounded corpus; contextual literature</w:t>
            </w:r>
          </w:p>
        </w:tc>
        <w:tc>
          <w:tcPr>
            <w:tcW w:w="2592" w:type="dxa"/>
            <w:tcMar>
              <w:top w:w="85" w:type="dxa"/>
              <w:left w:w="85" w:type="dxa"/>
              <w:bottom w:w="85" w:type="dxa"/>
              <w:right w:w="85" w:type="dxa"/>
            </w:tcMar>
            <w:vAlign w:val="center"/>
          </w:tcPr>
          <w:p w14:paraId="73F66655" w14:textId="77777777" w:rsidR="00313C50" w:rsidRDefault="00000000">
            <w:pPr>
              <w:spacing w:before="60" w:after="60" w:line="252" w:lineRule="auto"/>
            </w:pPr>
            <w:r>
              <w:t>Discussion and limitations</w:t>
            </w:r>
          </w:p>
        </w:tc>
        <w:tc>
          <w:tcPr>
            <w:tcW w:w="4320" w:type="dxa"/>
            <w:tcMar>
              <w:top w:w="85" w:type="dxa"/>
              <w:left w:w="85" w:type="dxa"/>
              <w:bottom w:w="85" w:type="dxa"/>
              <w:right w:w="85" w:type="dxa"/>
            </w:tcMar>
            <w:vAlign w:val="center"/>
          </w:tcPr>
          <w:p w14:paraId="4EC0D007" w14:textId="77777777" w:rsidR="00313C50" w:rsidRDefault="00000000">
            <w:pPr>
              <w:spacing w:before="60" w:after="60" w:line="252" w:lineRule="auto"/>
            </w:pPr>
            <w:r>
              <w:t>No national absence inferred from non-reporting; proposed indicators are explicitly prospective.</w:t>
            </w:r>
          </w:p>
        </w:tc>
      </w:tr>
    </w:tbl>
    <w:p w14:paraId="5CF7AE04" w14:textId="77777777" w:rsidR="00313C50" w:rsidRDefault="00313C50">
      <w:pPr>
        <w:spacing w:after="0"/>
      </w:pPr>
    </w:p>
    <w:p w14:paraId="24DBB249" w14:textId="77777777" w:rsidR="00313C50" w:rsidRPr="00C64F33" w:rsidRDefault="00000000" w:rsidP="00C64F33">
      <w:pPr>
        <w:spacing w:after="0"/>
        <w:rPr>
          <w:b/>
          <w:bCs/>
          <w:sz w:val="26"/>
          <w:szCs w:val="26"/>
        </w:rPr>
      </w:pPr>
      <w:r w:rsidRPr="00C64F33">
        <w:rPr>
          <w:b/>
          <w:bCs/>
          <w:sz w:val="26"/>
          <w:szCs w:val="26"/>
        </w:rPr>
        <w:t>Search and source verification notes</w:t>
      </w:r>
    </w:p>
    <w:p w14:paraId="1B536467" w14:textId="77777777" w:rsidR="00313C50" w:rsidRDefault="00000000">
      <w:r>
        <w:lastRenderedPageBreak/>
        <w:t>The revision used targeted web discovery on official institutional domains and scholarly discovery through PubMed, Crossref and publisher pages. It was not an exhaustive database review. Searches combined country names with medical tourism, medical value travel, foreign patients, international patient services, governance, accreditation, insurance and patient experience.</w:t>
      </w:r>
    </w:p>
    <w:p w14:paraId="693F7AA3" w14:textId="77777777" w:rsidR="00313C50" w:rsidRDefault="00000000">
      <w:r>
        <w:t>Examples of executed searches include medical tourism India governance qualitative 2020 2024; medical tourism Asia governance insurance 2020 2025; Medical Korea registration insurance foreign patients; Japan JMIP evaluation; Singapore foreign inpatient/day-surgery patients; and the exact Chinese titles of the Shanghai opinion and Hainan provisions. Reference identities were checked using DOI metadata or the publisher/PubMed record.</w:t>
      </w:r>
    </w:p>
    <w:p w14:paraId="4350BA66" w14:textId="77777777" w:rsidR="00313C50" w:rsidRDefault="00000000">
      <w:r>
        <w:t>The original 2022 Indian strategy PDF could not be retrieved from the cited ministry path, which returned an error. IN01 and IN02 therefore cite accessible ministry parliamentary replies reproduced by the Press Information Bureau. They are not represented as full-text analysis of the inaccessible strategy. The 2026 backgrounder provides additional contemporary context.</w:t>
      </w:r>
    </w:p>
    <w:p w14:paraId="0B0BA636" w14:textId="77777777" w:rsidR="00313C50" w:rsidRDefault="00000000">
      <w:r>
        <w:t>The original Hainan government link failed. CN05 instead uses the full promulgated provisions in Hainan Daily on 8 December 2024, page A15, which also reproduces an official explanation. The revised Results cite the statutory articles, including the scope in Article 2. The same newspaper’s HTML text was used for the final scope check after PDF retrieval became unreliable. CN06 records only the indexed official notice’s title, issuing bodies and date; its attachments could not be retrieved and were not analysed clause by clause. The standards source CN03 provides metadata only; no uninspected substantive clause is attributed to the standard.</w:t>
      </w:r>
    </w:p>
    <w:p w14:paraId="58F42036" w14:textId="77777777" w:rsidR="00313C50" w:rsidRDefault="00000000">
      <w:r>
        <w:t>The Thai manual was retrieved through the web PDF reader after direct downloading failed. Its preface is dated 2024, while the English file is hosted in a 2025 directory. Those dates are distinguished. Korean ministry releases were also extracted directly and their patient units were checked against the original-language wording.</w:t>
      </w:r>
    </w:p>
    <w:p w14:paraId="2884931B" w14:textId="77777777" w:rsidR="00313C50" w:rsidRDefault="00000000">
      <w:r>
        <w:t>Bibliographic verification used Crossref where available, with publisher and PubMed records as alternatives when an API request was rate-limited. Older conceptual sources are separated from recent empirical and review literature.</w:t>
      </w:r>
    </w:p>
    <w:p w14:paraId="010C4456" w14:textId="77777777" w:rsidR="00313C50" w:rsidRDefault="00000000">
      <w:r>
        <w:t>The supplied original workbook contains 30 entries, comprising eight background or theoretical references and 22 destination-related entries. Its Summary reports 38 candidate records, 30 retained entries and eight exclusions, but gives only general exclusion categories. It records initial extraction and a second check by the same author. These statements are preserved as the original method record; they do not establish independent checking or a record-level exclusion log.</w:t>
      </w:r>
    </w:p>
    <w:p w14:paraId="4EA63C55" w14:textId="77777777" w:rsidR="00313C50" w:rsidRDefault="00000000">
      <w:r>
        <w:t>The 2025 Indian parliamentary reply listed as original S26 was retrieved from the Parliamentary Digital Library after the ministry link failed. It is recorded as IN04. The visa guidance listed as S28 was checked directly and is recorded as IN05. The original 2022 strategy remains represented by the accessible official summaries; indexed excerpts are not described as a full-text reanalysis. Unretrieved portal content is not treated as evidence of operational services.</w:t>
      </w:r>
    </w:p>
    <w:p w14:paraId="5A655F59" w14:textId="77777777" w:rsidR="00313C50" w:rsidRDefault="00000000">
      <w:r>
        <w:t>The source register records retained case materials only. Search-engine hits, navigation pages, duplicated summaries and failed retrievals are not a screening population. Undated programme pages are September 2026 snapshots and should not be interpreted as unchanged historical records.</w:t>
      </w:r>
    </w:p>
    <w:p w14:paraId="7E07AFCC" w14:textId="77777777" w:rsidR="00313C50" w:rsidRPr="00C64F33" w:rsidRDefault="00000000" w:rsidP="00C64F33">
      <w:pPr>
        <w:spacing w:after="0"/>
        <w:rPr>
          <w:b/>
          <w:bCs/>
          <w:sz w:val="26"/>
          <w:szCs w:val="26"/>
        </w:rPr>
      </w:pPr>
      <w:r w:rsidRPr="00C64F33">
        <w:rPr>
          <w:b/>
          <w:bCs/>
          <w:sz w:val="26"/>
          <w:szCs w:val="26"/>
        </w:rPr>
        <w:t>Academic context and methodological sources</w:t>
      </w:r>
    </w:p>
    <w:p w14:paraId="07F0167B" w14:textId="77777777" w:rsidR="00313C50" w:rsidRPr="00C64F33" w:rsidRDefault="00000000" w:rsidP="00C64F33">
      <w:pPr>
        <w:spacing w:after="0"/>
      </w:pPr>
      <w:r w:rsidRPr="00C64F33">
        <w:t>The following sources inform interpretation and method; they are not additional records in Table S1.</w:t>
      </w:r>
    </w:p>
    <w:p w14:paraId="209B196B" w14:textId="77777777" w:rsidR="00313C50" w:rsidRDefault="00000000">
      <w:pPr>
        <w:spacing w:line="264" w:lineRule="auto"/>
      </w:pPr>
      <w:r>
        <w:lastRenderedPageBreak/>
        <w:t>[1] Hanefeld J, Smith R, Horsfall D, Lunt N. What do we know about medical tourism? A review of the literature with discussion of its implications for the UK National Health Service as an example of a public health care system. J Travel Med. 2014;21(6):410–417.</w:t>
      </w:r>
      <w:hyperlink r:id="rId34">
        <w:r>
          <w:rPr>
            <w:sz w:val="20"/>
          </w:rPr>
          <w:t xml:space="preserve"> DOI record</w:t>
        </w:r>
      </w:hyperlink>
    </w:p>
    <w:p w14:paraId="792AE234" w14:textId="77777777" w:rsidR="00313C50" w:rsidRDefault="00000000">
      <w:pPr>
        <w:spacing w:line="264" w:lineRule="auto"/>
      </w:pPr>
      <w:r>
        <w:t>[2] Pocock NS, Phua KH. Medical tourism and policy implications for health systems: a conceptual framework from a comparative study of Thailand, Singapore and Malaysia. Global Health. 2011;7:12.</w:t>
      </w:r>
      <w:hyperlink r:id="rId35">
        <w:r>
          <w:rPr>
            <w:sz w:val="20"/>
          </w:rPr>
          <w:t xml:space="preserve"> DOI record</w:t>
        </w:r>
      </w:hyperlink>
    </w:p>
    <w:p w14:paraId="7D34D7E7" w14:textId="77777777" w:rsidR="00313C50" w:rsidRDefault="00000000">
      <w:pPr>
        <w:spacing w:line="264" w:lineRule="auto"/>
      </w:pPr>
      <w:r>
        <w:t>[3] Xu Q, Purushothaman V, Cuomo RE, Mackey TK. A bilingual systematic review of South Korean medical tourism: a need to rethink policy and priorities for public health? BMC Public Health. 2021;21:658.</w:t>
      </w:r>
      <w:hyperlink r:id="rId36">
        <w:r>
          <w:rPr>
            <w:sz w:val="20"/>
          </w:rPr>
          <w:t xml:space="preserve"> DOI record</w:t>
        </w:r>
      </w:hyperlink>
    </w:p>
    <w:p w14:paraId="6F4BB239" w14:textId="77777777" w:rsidR="00313C50" w:rsidRDefault="00000000">
      <w:pPr>
        <w:spacing w:line="264" w:lineRule="auto"/>
      </w:pPr>
      <w:r>
        <w:t>[4] Samsudin MF, Lim YC, Rochmah TN, Dahlui M. Revisiting the policy implications of medical tourism in the post-COVID-19 pandemic from a Malaysian perspective: a qualitative study. Cureus. 2024;16(7):e64308.</w:t>
      </w:r>
      <w:hyperlink r:id="rId37">
        <w:r>
          <w:rPr>
            <w:sz w:val="20"/>
          </w:rPr>
          <w:t xml:space="preserve"> DOI record</w:t>
        </w:r>
      </w:hyperlink>
    </w:p>
    <w:p w14:paraId="460137E8" w14:textId="77777777" w:rsidR="00313C50" w:rsidRDefault="00000000">
      <w:pPr>
        <w:spacing w:line="264" w:lineRule="auto"/>
      </w:pPr>
      <w:r>
        <w:t>[5] Hunter BM, Murray SF, Marathe S, Chakravarthi I. Decentred regulation: the case of private healthcare in India. World Dev. 2022;155:105889.</w:t>
      </w:r>
      <w:hyperlink r:id="rId38">
        <w:r>
          <w:rPr>
            <w:sz w:val="20"/>
          </w:rPr>
          <w:t xml:space="preserve"> DOI record</w:t>
        </w:r>
      </w:hyperlink>
    </w:p>
    <w:p w14:paraId="37CA9B38" w14:textId="77777777" w:rsidR="00313C50" w:rsidRDefault="00000000">
      <w:pPr>
        <w:spacing w:line="264" w:lineRule="auto"/>
      </w:pPr>
      <w:r>
        <w:t>[6] Brown J, Johnson J, Ozan-Rafferty ME, Sharma M, Barbera S. Internet narratives focused on health travelers’ experiences in India: qualitative analysis. J Med Internet Res. 2020;22(5):e15665.</w:t>
      </w:r>
      <w:hyperlink r:id="rId39">
        <w:r>
          <w:rPr>
            <w:sz w:val="20"/>
          </w:rPr>
          <w:t xml:space="preserve"> DOI record</w:t>
        </w:r>
      </w:hyperlink>
    </w:p>
    <w:p w14:paraId="72B1884F" w14:textId="77777777" w:rsidR="00313C50" w:rsidRDefault="00000000">
      <w:pPr>
        <w:spacing w:line="264" w:lineRule="auto"/>
      </w:pPr>
      <w:r>
        <w:t>[7] Zakaria M, Islam MA, Islam MK, Begum A, Poly NA, Cheng F, et al. Determinants of Bangladeshi patients’ decision-making process and satisfaction toward medical tourism in India. Front Public Health. 2023;11:1137929.</w:t>
      </w:r>
      <w:hyperlink r:id="rId40">
        <w:r>
          <w:rPr>
            <w:sz w:val="20"/>
          </w:rPr>
          <w:t xml:space="preserve"> DOI record</w:t>
        </w:r>
      </w:hyperlink>
    </w:p>
    <w:p w14:paraId="1FC73E28" w14:textId="77777777" w:rsidR="00313C50" w:rsidRDefault="00000000">
      <w:pPr>
        <w:spacing w:line="264" w:lineRule="auto"/>
      </w:pPr>
      <w:r>
        <w:t>[8] Nichol B, Ray D, Tanner L, Oliver EJ, Vlaev I, Sniehotta F, et al. Decision-making about bariatric and cosmetic medical tourism from countries with universal healthcare: a rapid systematic review. Global Health. 2026;22:45.</w:t>
      </w:r>
      <w:hyperlink r:id="rId41">
        <w:r>
          <w:rPr>
            <w:sz w:val="20"/>
          </w:rPr>
          <w:t xml:space="preserve"> DOI record</w:t>
        </w:r>
      </w:hyperlink>
    </w:p>
    <w:p w14:paraId="39A836F5" w14:textId="77777777" w:rsidR="00313C50" w:rsidRDefault="00000000">
      <w:pPr>
        <w:spacing w:line="264" w:lineRule="auto"/>
      </w:pPr>
      <w:r>
        <w:t>[9] Walt G, Gilson L. Reforming the health sector in developing countries: the central role of policy analysis. Health Policy Plan. 1994;9(4):353–370.</w:t>
      </w:r>
      <w:hyperlink r:id="rId42">
        <w:r>
          <w:rPr>
            <w:sz w:val="20"/>
          </w:rPr>
          <w:t xml:space="preserve"> DOI record</w:t>
        </w:r>
      </w:hyperlink>
    </w:p>
    <w:p w14:paraId="05513836" w14:textId="77777777" w:rsidR="00313C50" w:rsidRDefault="00000000">
      <w:pPr>
        <w:spacing w:line="264" w:lineRule="auto"/>
      </w:pPr>
      <w:r>
        <w:t>[17] Dalglish SL, Khalid H, McMahon SA. Document analysis in health policy research: the READ approach. Health Policy Plan. 2020;35(10):1424–1431.</w:t>
      </w:r>
      <w:hyperlink r:id="rId43">
        <w:r>
          <w:rPr>
            <w:sz w:val="20"/>
          </w:rPr>
          <w:t xml:space="preserve"> DOI record</w:t>
        </w:r>
      </w:hyperlink>
    </w:p>
    <w:sectPr w:rsidR="00313C50" w:rsidSect="00034616">
      <w:footerReference w:type="default" r:id="rId44"/>
      <w:pgSz w:w="15840" w:h="12240"/>
      <w:pgMar w:top="936" w:right="936" w:bottom="936" w:left="936"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F733" w14:textId="77777777" w:rsidR="005D6567" w:rsidRDefault="005D6567">
      <w:pPr>
        <w:spacing w:after="0" w:line="240" w:lineRule="auto"/>
      </w:pPr>
      <w:r>
        <w:separator/>
      </w:r>
    </w:p>
  </w:endnote>
  <w:endnote w:type="continuationSeparator" w:id="0">
    <w:p w14:paraId="46B34E27" w14:textId="77777777" w:rsidR="005D6567" w:rsidRDefault="005D6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0F8D" w14:textId="77777777" w:rsidR="00313C50" w:rsidRDefault="00000000">
    <w:pPr>
      <w:pStyle w:val="a7"/>
      <w:jc w:val="center"/>
    </w:pPr>
    <w:r>
      <w:fldChar w:fldCharType="begin"/>
    </w:r>
    <w:r>
      <w:instrText>PAGE</w:instrText>
    </w:r>
    <w:r>
      <w:fldChar w:fldCharType="separate"/>
    </w:r>
    <w:r w:rsidR="00C64F3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EA2F3" w14:textId="77777777" w:rsidR="005D6567" w:rsidRDefault="005D6567">
      <w:pPr>
        <w:spacing w:after="0" w:line="240" w:lineRule="auto"/>
      </w:pPr>
      <w:r>
        <w:separator/>
      </w:r>
    </w:p>
  </w:footnote>
  <w:footnote w:type="continuationSeparator" w:id="0">
    <w:p w14:paraId="3CBA6A78" w14:textId="77777777" w:rsidR="005D6567" w:rsidRDefault="005D65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4013912">
    <w:abstractNumId w:val="8"/>
  </w:num>
  <w:num w:numId="2" w16cid:durableId="77018045">
    <w:abstractNumId w:val="6"/>
  </w:num>
  <w:num w:numId="3" w16cid:durableId="309948843">
    <w:abstractNumId w:val="5"/>
  </w:num>
  <w:num w:numId="4" w16cid:durableId="1137259102">
    <w:abstractNumId w:val="4"/>
  </w:num>
  <w:num w:numId="5" w16cid:durableId="1843078990">
    <w:abstractNumId w:val="7"/>
  </w:num>
  <w:num w:numId="6" w16cid:durableId="370307694">
    <w:abstractNumId w:val="3"/>
  </w:num>
  <w:num w:numId="7" w16cid:durableId="779228881">
    <w:abstractNumId w:val="2"/>
  </w:num>
  <w:num w:numId="8" w16cid:durableId="1257984874">
    <w:abstractNumId w:val="1"/>
  </w:num>
  <w:num w:numId="9" w16cid:durableId="1165785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3C50"/>
    <w:rsid w:val="00326F90"/>
    <w:rsid w:val="00451A43"/>
    <w:rsid w:val="005D6567"/>
    <w:rsid w:val="00AA1D8D"/>
    <w:rsid w:val="00B47730"/>
    <w:rsid w:val="00C64F3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1D06ED"/>
  <w14:defaultImageDpi w14:val="300"/>
  <w15:docId w15:val="{8EDA938C-0ACC-451E-A957-5B4E626B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eastAsia="宋体" w:hAnsi="Times New Roman" w:cs="Times New Roman"/>
      <w:color w:val="000000"/>
    </w:rPr>
  </w:style>
  <w:style w:type="paragraph" w:styleId="1">
    <w:name w:val="heading 1"/>
    <w:basedOn w:val="a1"/>
    <w:next w:val="a1"/>
    <w:link w:val="10"/>
    <w:uiPriority w:val="9"/>
    <w:qFormat/>
    <w:rsid w:val="00FC693F"/>
    <w:pPr>
      <w:keepNext/>
      <w:keepLines/>
      <w:spacing w:before="200"/>
      <w:outlineLvl w:val="0"/>
    </w:pPr>
    <w:rPr>
      <w:rFonts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cstheme="majorBidi"/>
      <w:b/>
      <w:bCs/>
      <w:sz w:val="24"/>
      <w:szCs w:val="26"/>
    </w:rPr>
  </w:style>
  <w:style w:type="paragraph" w:styleId="31">
    <w:name w:val="heading 3"/>
    <w:basedOn w:val="a1"/>
    <w:next w:val="a1"/>
    <w:link w:val="32"/>
    <w:uiPriority w:val="9"/>
    <w:unhideWhenUsed/>
    <w:qFormat/>
    <w:rsid w:val="00FC693F"/>
    <w:pPr>
      <w:keepNext/>
      <w:keepLines/>
      <w:spacing w:before="200"/>
      <w:outlineLvl w:val="2"/>
    </w:pPr>
    <w:rPr>
      <w:rFonts w:cstheme="majorBidi"/>
      <w:b/>
      <w:bCs/>
      <w:sz w:val="24"/>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contextualSpacing/>
    </w:pPr>
    <w:rPr>
      <w:rFonts w:cstheme="majorBidi"/>
      <w:b/>
      <w:spacing w:val="5"/>
      <w:kern w:val="28"/>
      <w:sz w:val="30"/>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keepNext/>
    </w:pPr>
    <w:rPr>
      <w:bCs/>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icalkorea.or.kr/kmediwatch/sign/raw?lang=en" TargetMode="External"/><Relationship Id="rId18" Type="http://schemas.openxmlformats.org/officeDocument/2006/relationships/hyperlink" Target="https://www.channelnewsasia.com/today/big-read/medical-tourism-thailand-malaysia-singapore-4862176" TargetMode="External"/><Relationship Id="rId26" Type="http://schemas.openxmlformats.org/officeDocument/2006/relationships/hyperlink" Target="https://eparlib.sansad.in/bitstream/123456789/2995882/1/AU4136_qrXvtJ.pdf" TargetMode="External"/><Relationship Id="rId39" Type="http://schemas.openxmlformats.org/officeDocument/2006/relationships/hyperlink" Target="https://doi.org/10.2196/15665" TargetMode="External"/><Relationship Id="rId21" Type="http://schemas.openxmlformats.org/officeDocument/2006/relationships/hyperlink" Target="https://www.bumrungrad.com/en/blog-news/insurance-payment-process" TargetMode="External"/><Relationship Id="rId34" Type="http://schemas.openxmlformats.org/officeDocument/2006/relationships/hyperlink" Target="https://doi.org/10.1111/jtm.12147" TargetMode="External"/><Relationship Id="rId42" Type="http://schemas.openxmlformats.org/officeDocument/2006/relationships/hyperlink" Target="https://doi.org/10.1093/heapol/9.4.35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oh.gov.sg/newsroom/foreign-patients-referred-for-medical-treatment-in-public-hospitals-in-singapore/" TargetMode="External"/><Relationship Id="rId29" Type="http://schemas.openxmlformats.org/officeDocument/2006/relationships/hyperlink" Target="https://www.shanghai.gov.cn/nw12344/20250108/c4eebcef2049487b992bb40d0618d9cb.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apanhospitalsearch.org/overview/" TargetMode="External"/><Relationship Id="rId24" Type="http://schemas.openxmlformats.org/officeDocument/2006/relationships/hyperlink" Target="https://www.pib.gov.in/Pressreleaseshare.aspx?PRID=1946467&amp;lang=2&amp;reg=48" TargetMode="External"/><Relationship Id="rId32" Type="http://schemas.openxmlformats.org/officeDocument/2006/relationships/hyperlink" Target="https://news.hndaily.cn/html/2024-12/08/content_58478_18068993.htm" TargetMode="External"/><Relationship Id="rId37" Type="http://schemas.openxmlformats.org/officeDocument/2006/relationships/hyperlink" Target="https://doi.org/10.7759/cureus.64308" TargetMode="External"/><Relationship Id="rId40" Type="http://schemas.openxmlformats.org/officeDocument/2006/relationships/hyperlink" Target="https://doi.org/10.3389/fpubh.2023.1137929"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ohw.go.kr/board.es?act=view&amp;bid=0027&amp;list_no=1490280&amp;mid=a10503010100" TargetMode="External"/><Relationship Id="rId23" Type="http://schemas.openxmlformats.org/officeDocument/2006/relationships/hyperlink" Target="https://www.pib.gov.in/Pressreleaseshare.aspx?PRID=1844700&amp;lang=2&amp;reg=48" TargetMode="External"/><Relationship Id="rId28" Type="http://schemas.openxmlformats.org/officeDocument/2006/relationships/hyperlink" Target="https://www.shanghai.gov.cn/nw4411/20240920/06861a629fc248079b793160204b7d4d.html" TargetMode="External"/><Relationship Id="rId36" Type="http://schemas.openxmlformats.org/officeDocument/2006/relationships/hyperlink" Target="https://doi.org/10.1186/s12889-021-10642-x" TargetMode="External"/><Relationship Id="rId10" Type="http://schemas.openxmlformats.org/officeDocument/2006/relationships/hyperlink" Target="https://jmip.jme.or.jp/navi3.php" TargetMode="External"/><Relationship Id="rId19" Type="http://schemas.openxmlformats.org/officeDocument/2006/relationships/hyperlink" Target="https://thailand.go.th/issue-focus-detail/thailand-on-track-to-become-southeast-asias-leading-medical-hub" TargetMode="External"/><Relationship Id="rId31" Type="http://schemas.openxmlformats.org/officeDocument/2006/relationships/hyperlink" Target="https://www.news.cn/politics/20250316/bdc0dd658ef841739ff4cbe4ab6a5d88/c.html"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mip.jme.or.jp/navi1.php" TargetMode="External"/><Relationship Id="rId14" Type="http://schemas.openxmlformats.org/officeDocument/2006/relationships/hyperlink" Target="https://www.mohw.go.kr/board.es?act=view&amp;bid=0027&amp;list_no=1485191&amp;mid=a10503010100" TargetMode="External"/><Relationship Id="rId22" Type="http://schemas.openxmlformats.org/officeDocument/2006/relationships/hyperlink" Target="https://www.iseas.edu.sg/wp-content/uploads/2025/11/ISEAS_EWP_2025-3_Kohpaiboon_Pupaibul_FINAL.pdf" TargetMode="External"/><Relationship Id="rId27" Type="http://schemas.openxmlformats.org/officeDocument/2006/relationships/hyperlink" Target="https://indianvisaonline.gov.in/evisa/tvoa.html" TargetMode="External"/><Relationship Id="rId30" Type="http://schemas.openxmlformats.org/officeDocument/2006/relationships/hyperlink" Target="https://std.samr.gov.cn/db/search/stdDBDetailed?id=1C63DB89CB88B508E06397BE0A0A2020" TargetMode="External"/><Relationship Id="rId35" Type="http://schemas.openxmlformats.org/officeDocument/2006/relationships/hyperlink" Target="https://doi.org/10.1186/1744-8603-7-12" TargetMode="External"/><Relationship Id="rId43" Type="http://schemas.openxmlformats.org/officeDocument/2006/relationships/hyperlink" Target="https://doi.org/10.1093/heapol/czaa064" TargetMode="External"/><Relationship Id="rId8" Type="http://schemas.openxmlformats.org/officeDocument/2006/relationships/hyperlink" Target="https://www.mofa.go.jp/j_info/visit/visa/medical_stay1.html" TargetMode="External"/><Relationship Id="rId3" Type="http://schemas.openxmlformats.org/officeDocument/2006/relationships/styles" Target="styles.xml"/><Relationship Id="rId12" Type="http://schemas.openxmlformats.org/officeDocument/2006/relationships/hyperlink" Target="https://www.medicalkorea.or.kr/en/registeredsystem" TargetMode="External"/><Relationship Id="rId17" Type="http://schemas.openxmlformats.org/officeDocument/2006/relationships/hyperlink" Target="https://www.moh.gov.sg/others/health-regulation/healthcare-services-regulation-and-licensing/" TargetMode="External"/><Relationship Id="rId25" Type="http://schemas.openxmlformats.org/officeDocument/2006/relationships/hyperlink" Target="https://www.pib.gov.in/PressReleasePage.aspx?PRID=2257447" TargetMode="External"/><Relationship Id="rId33" Type="http://schemas.openxmlformats.org/officeDocument/2006/relationships/hyperlink" Target="https://qionghai.hainan.gov.cn/zfxxgkzl/bm/bgt/gkml/202505/t20250509_3861648.html" TargetMode="External"/><Relationship Id="rId38" Type="http://schemas.openxmlformats.org/officeDocument/2006/relationships/hyperlink" Target="https://doi.org/10.1016/j.worlddev.2022.105889" TargetMode="External"/><Relationship Id="rId46" Type="http://schemas.openxmlformats.org/officeDocument/2006/relationships/theme" Target="theme/theme1.xml"/><Relationship Id="rId20" Type="http://schemas.openxmlformats.org/officeDocument/2006/relationships/hyperlink" Target="https://thaimedhub.hss.moph.go.th/wp-content/uploads/2025/07/TiWA-Develop-English-Version-1.pdf" TargetMode="External"/><Relationship Id="rId41" Type="http://schemas.openxmlformats.org/officeDocument/2006/relationships/hyperlink" Target="https://doi.org/10.1186/s12992-026-01207-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3981</Words>
  <Characters>22693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documentary evidence for medical tourism governance</dc:title>
  <dc:subject>Revised comparative documentary policy analysis</dc:subject>
  <dc:creator>Ying Zhou; Di Xu; Yaxu Zhou; Yuru Yan; Chunming Wang</dc:creator>
  <cp:keywords/>
  <dc:description/>
  <cp:lastModifiedBy>ding Ding</cp:lastModifiedBy>
  <cp:revision>2</cp:revision>
  <dcterms:created xsi:type="dcterms:W3CDTF">2013-12-23T23:15:00Z</dcterms:created>
  <dcterms:modified xsi:type="dcterms:W3CDTF">2026-09-07T04:45:00Z</dcterms:modified>
  <cp:category/>
</cp:coreProperties>
</file>