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Supplementary Material</w:t>
      </w:r>
    </w:p>
    <w:p>
      <w:pPr>
        <w:jc w:val="center"/>
      </w:pPr>
      <w:r>
        <w:rPr>
          <w:b/>
          <w:sz w:val="24"/>
        </w:rPr>
        <w:t>Intraoperative Inspired Oxygen Exposure and Mechanical Ventilation Recorded 24–48 Hours After Intracranial Neurosurgery: An INSPIRE Cohort Study</w:t>
      </w:r>
    </w:p>
    <w:p>
      <w:pPr>
        <w:jc w:val="center"/>
      </w:pPr>
      <w:r>
        <w:t>Shikun Li, Xu Chen, Rudong Chen, Zhuo Yang, Yuyang Hou, Jiasheng Yu</w:t>
      </w:r>
    </w:p>
    <w:p>
      <w:pPr>
        <w:pStyle w:val="Heading1"/>
        <w:spacing w:line="480" w:lineRule="auto"/>
      </w:pPr>
      <w:r>
        <w:t>Supplementary methods</w:t>
      </w:r>
    </w:p>
    <w:p>
      <w:pPr>
        <w:pStyle w:val="Heading2"/>
        <w:spacing w:line="480" w:lineRule="auto"/>
      </w:pPr>
      <w:r>
        <w:t>Supplementary Methods S1. Formal-analysis amendment and outcome-selection sequence</w:t>
      </w:r>
    </w:p>
    <w:p>
      <w:pPr>
        <w:spacing w:line="480" w:lineRule="auto"/>
      </w:pPr>
      <w:r>
        <w:rPr>
          <w:rFonts w:ascii="Calibri" w:hAnsi="Calibri" w:eastAsia="Calibri"/>
          <w:color w:val="000000"/>
          <w:sz w:val="22"/>
        </w:rPr>
        <w:t xml:space="preserve">The feasibility phase was designed to establish whether the INSPIRE variables could support a reproducible continuous oxygen exposure and clinically interpretable postoperative outcomes. Ninety-day mortality was initially evaluated as the principal outcome. Feasibility models did not show a clear adjusted association with 90-day mortality, whereas postoperative ventilation records showed a graded association across the fixed exposure categories used for data checking. This observation prompted a formal amendment that designated at least one </w:t>
      </w:r>
      <w:r>
        <w:rPr>
          <w:rFonts w:ascii="Consolas" w:hAnsi="Consolas" w:eastAsia="Consolas"/>
          <w:color w:val="1F4D78"/>
          <w:sz w:val="20"/>
        </w:rPr>
        <w:t>vent=1</w:t>
      </w:r>
      <w:r>
        <w:rPr>
          <w:rFonts w:ascii="Calibri" w:hAnsi="Calibri" w:eastAsia="Calibri"/>
          <w:color w:val="000000"/>
          <w:sz w:val="22"/>
        </w:rPr>
        <w:t xml:space="preserve"> record during postoperative hours 24–48 as the primary outcome.</w:t>
      </w:r>
    </w:p>
    <w:p>
      <w:pPr>
        <w:spacing w:line="480" w:lineRule="auto"/>
      </w:pPr>
      <w:r>
        <w:rPr>
          <w:rFonts w:ascii="Calibri" w:hAnsi="Calibri" w:eastAsia="Calibri"/>
          <w:color w:val="000000"/>
          <w:sz w:val="22"/>
        </w:rPr>
        <w:t>The amended outcome and its cautious terminology were fixed before the formal MICE analysis, restricted cubic-spline modelling, and protocol-defined sensitivity analyses. The temporal outcome-audit rules were then applied uniformly to all primary events. Exposure was analysed continuously per 10 TWAEO percentage points; the fixed quartiles were retained only for descriptive presentation. No oxygen threshold was selected by inspecting the primary-outcome curve, and the spline analysis was used to test the overall association and departure from linearity rather than to derive a treatment cut-off. This sequence should be considered when interpreting the findings and reinforces the need for independent validation.</w:t>
      </w:r>
    </w:p>
    <w:p>
      <w:pPr>
        <w:pStyle w:val="Heading1"/>
        <w:spacing w:line="480" w:lineRule="auto"/>
      </w:pPr>
      <w:r>
        <w:t>Supplementary tables</w:t>
      </w:r>
    </w:p>
    <w:p>
      <w:pPr>
        <w:pStyle w:val="Heading2"/>
        <w:spacing w:line="480" w:lineRule="auto"/>
      </w:pPr>
      <w:r>
        <w:t>Supplementary Table S1. Primary MICE model coefficients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9C2CC"/>
          <w:left w:val="single" w:sz="4" w:space="0" w:color="B9C2CC"/>
          <w:bottom w:val="single" w:sz="4" w:space="0" w:color="B9C2CC"/>
          <w:right w:val="single" w:sz="4" w:space="0" w:color="B9C2CC"/>
          <w:insideH w:val="single" w:sz="4" w:space="0" w:color="B9C2CC"/>
          <w:insideV w:val="single" w:sz="4" w:space="0" w:color="B9C2CC"/>
        </w:tblBorders>
      </w:tblPr>
      <w:tblGrid>
        <w:gridCol w:w="4050"/>
        <w:gridCol w:w="1450"/>
        <w:gridCol w:w="1930"/>
        <w:gridCol w:w="1930"/>
      </w:tblGrid>
      <w:tr>
        <w:trPr>
          <w:trHeight w:hRule="atLeast"/>
          <w:tblHeader w:val="true"/>
        </w:trPr>
        <w:tc>
          <w:tcPr>
            <w:tcW w:type="dxa" w:w="405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Term</w:t>
            </w:r>
          </w:p>
        </w:tc>
        <w:tc>
          <w:tcPr>
            <w:tcW w:type="dxa" w:w="145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Adjusted OR</w:t>
            </w:r>
          </w:p>
        </w:tc>
        <w:tc>
          <w:tcPr>
            <w:tcW w:type="dxa" w:w="193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95% CI</w:t>
            </w:r>
          </w:p>
        </w:tc>
        <w:tc>
          <w:tcPr>
            <w:tcW w:type="dxa" w:w="193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P value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TWAEO per 10 points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1.54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1.18–2.02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.0017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Age per 10 years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1.23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1.04–1.45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.015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Male sex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1.69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1.06–2.70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.027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ASA per class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1.30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0.96–1.76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.093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Emergency surgery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5.26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2.30–12.00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&lt;.001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Haemorrhage/decompression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2.35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1.02–5.40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.045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Operation duration per hour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1.64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1.45–1.86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&lt;.001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BMI per 5 kg/m²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0.58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0.41–0.82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.002</w:t>
            </w:r>
          </w:p>
        </w:tc>
      </w:tr>
      <w:tr>
        <w:trPr>
          <w:cantSplit/>
          <w:trHeight w:hRule="atLeast"/>
        </w:trPr>
        <w:tc>
          <w:tcPr>
            <w:tcW w:type="dxa" w:w="40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SpO₂ &lt;92% burden per 1% time</w:t>
            </w:r>
          </w:p>
        </w:tc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1.15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0.46–2.88</w:t>
            </w:r>
          </w:p>
        </w:tc>
        <w:tc>
          <w:tcPr>
            <w:tcW w:type="dxa" w:w="193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.763</w:t>
            </w:r>
          </w:p>
        </w:tc>
      </w:tr>
    </w:tbl>
    <w:p>
      <w:pPr>
        <w:pStyle w:val="Heading2"/>
        <w:spacing w:line="480" w:lineRule="auto"/>
      </w:pPr>
      <w:r>
        <w:t>Supplementary Table S2. Missingness before imputation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9C2CC"/>
          <w:left w:val="single" w:sz="4" w:space="0" w:color="B9C2CC"/>
          <w:bottom w:val="single" w:sz="4" w:space="0" w:color="B9C2CC"/>
          <w:right w:val="single" w:sz="4" w:space="0" w:color="B9C2CC"/>
          <w:insideH w:val="single" w:sz="4" w:space="0" w:color="B9C2CC"/>
          <w:insideV w:val="single" w:sz="4" w:space="0" w:color="B9C2CC"/>
        </w:tblBorders>
      </w:tblPr>
      <w:tblGrid>
        <w:gridCol w:w="3000"/>
        <w:gridCol w:w="6360"/>
      </w:tblGrid>
      <w:tr>
        <w:trPr>
          <w:trHeight w:hRule="atLeast"/>
          <w:tblHeader w:val="true"/>
        </w:trPr>
        <w:tc>
          <w:tcPr>
            <w:tcW w:type="dxa" w:w="30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Variable</w:t>
            </w:r>
          </w:p>
        </w:tc>
        <w:tc>
          <w:tcPr>
            <w:tcW w:type="dxa" w:w="63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Missing, n (%)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ASA class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59 (3.7)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BMI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42 (2.6)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Median PEEP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280 (17.5)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Median VT/PBW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20 (1.2)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Dynamic driving pressure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280 (17.5)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Estimated blood loss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47 (2.9)</w:t>
            </w:r>
          </w:p>
        </w:tc>
      </w:tr>
      <w:tr>
        <w:trPr>
          <w:cantSplit/>
          <w:trHeight w:hRule="atLeast"/>
        </w:trPr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Fluid rate</w:t>
            </w:r>
          </w:p>
        </w:tc>
        <w:tc>
          <w:tcPr>
            <w:tcW w:type="dxa" w:w="6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34 (2.1)</w:t>
            </w:r>
          </w:p>
        </w:tc>
      </w:tr>
    </w:tbl>
    <w:p>
      <w:pPr>
        <w:pStyle w:val="Heading2"/>
        <w:spacing w:line="480" w:lineRule="auto"/>
      </w:pPr>
      <w:r>
        <w:t>Supplementary Table S3. Comparison of TWAEO and mean FiO₂ in the complete-case sample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9C2CC"/>
          <w:left w:val="single" w:sz="4" w:space="0" w:color="B9C2CC"/>
          <w:bottom w:val="single" w:sz="4" w:space="0" w:color="B9C2CC"/>
          <w:right w:val="single" w:sz="4" w:space="0" w:color="B9C2CC"/>
          <w:insideH w:val="single" w:sz="4" w:space="0" w:color="B9C2CC"/>
          <w:insideV w:val="single" w:sz="4" w:space="0" w:color="B9C2CC"/>
        </w:tblBorders>
      </w:tblPr>
      <w:tblGrid>
        <w:gridCol w:w="3750"/>
        <w:gridCol w:w="1350"/>
        <w:gridCol w:w="4260"/>
      </w:tblGrid>
      <w:tr>
        <w:trPr>
          <w:trHeight w:hRule="atLeast"/>
          <w:tblHeader w:val="true"/>
        </w:trPr>
        <w:tc>
          <w:tcPr>
            <w:tcW w:type="dxa" w:w="375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Model</w:t>
            </w:r>
          </w:p>
        </w:tc>
        <w:tc>
          <w:tcPr>
            <w:tcW w:type="dxa" w:w="135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AIC</w:t>
            </w:r>
          </w:p>
        </w:tc>
        <w:tc>
          <w:tcPr>
            <w:tcW w:type="dxa" w:w="42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C-statistic</w:t>
            </w:r>
          </w:p>
        </w:tc>
      </w:tr>
      <w:tr>
        <w:trPr>
          <w:cantSplit/>
          <w:trHeight w:hRule="atLeast"/>
        </w:trPr>
        <w:tc>
          <w:tcPr>
            <w:tcW w:type="dxa" w:w="3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Adjusted covariates only</w:t>
            </w:r>
          </w:p>
        </w:tc>
        <w:tc>
          <w:tcPr>
            <w:tcW w:type="dxa" w:w="13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478.33</w:t>
            </w:r>
          </w:p>
        </w:tc>
        <w:tc>
          <w:tcPr>
            <w:tcW w:type="dxa" w:w="4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0.846</w:t>
            </w:r>
          </w:p>
        </w:tc>
      </w:tr>
      <w:tr>
        <w:trPr>
          <w:cantSplit/>
          <w:trHeight w:hRule="atLeast"/>
        </w:trPr>
        <w:tc>
          <w:tcPr>
            <w:tcW w:type="dxa" w:w="3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Covariates + TWAEO</w:t>
            </w:r>
          </w:p>
        </w:tc>
        <w:tc>
          <w:tcPr>
            <w:tcW w:type="dxa" w:w="13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468.19</w:t>
            </w:r>
          </w:p>
        </w:tc>
        <w:tc>
          <w:tcPr>
            <w:tcW w:type="dxa" w:w="4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0.859</w:t>
            </w:r>
          </w:p>
        </w:tc>
      </w:tr>
      <w:tr>
        <w:trPr>
          <w:cantSplit/>
          <w:trHeight w:hRule="atLeast"/>
        </w:trPr>
        <w:tc>
          <w:tcPr>
            <w:tcW w:type="dxa" w:w="3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Covariates + mean FiO₂</w:t>
            </w:r>
          </w:p>
        </w:tc>
        <w:tc>
          <w:tcPr>
            <w:tcW w:type="dxa" w:w="13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468.12</w:t>
            </w:r>
          </w:p>
        </w:tc>
        <w:tc>
          <w:tcPr>
            <w:tcW w:type="dxa" w:w="4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0.859</w:t>
            </w:r>
          </w:p>
        </w:tc>
      </w:tr>
    </w:tbl>
    <w:p>
      <w:pPr>
        <w:pStyle w:val="TableNote"/>
        <w:spacing w:line="480" w:lineRule="auto"/>
      </w:pPr>
      <w:r>
        <w:rPr>
          <w:rFonts w:ascii="Calibri" w:hAnsi="Calibri" w:eastAsia="Calibri"/>
          <w:color w:val="000000"/>
          <w:sz w:val="22"/>
        </w:rPr>
        <w:t>Complete-case n=1,504 with 70 events. Pearson correlation between TWAEO and mean FiO₂ was 0.99994. A joint model was not fitted because of near-perfect collinearity.</w:t>
      </w:r>
    </w:p>
    <w:p>
      <w:pPr>
        <w:pStyle w:val="Heading2"/>
        <w:spacing w:line="480" w:lineRule="auto"/>
      </w:pPr>
      <w:r>
        <w:t>Supplementary Table S4. Operational definition of major intracranial neurosurgery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9C2CC"/>
          <w:left w:val="single" w:sz="4" w:space="0" w:color="B9C2CC"/>
          <w:bottom w:val="single" w:sz="4" w:space="0" w:color="B9C2CC"/>
          <w:right w:val="single" w:sz="4" w:space="0" w:color="B9C2CC"/>
          <w:insideH w:val="single" w:sz="4" w:space="0" w:color="B9C2CC"/>
          <w:insideV w:val="single" w:sz="4" w:space="0" w:color="B9C2CC"/>
        </w:tblBorders>
      </w:tblPr>
      <w:tblGrid>
        <w:gridCol w:w="2200"/>
        <w:gridCol w:w="3800"/>
        <w:gridCol w:w="3360"/>
      </w:tblGrid>
      <w:tr>
        <w:trPr>
          <w:trHeight w:hRule="atLeast"/>
          <w:tblHeader w:val="true"/>
        </w:trPr>
        <w:tc>
          <w:tcPr>
            <w:tcW w:type="dxa" w:w="22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Operational category</w:t>
            </w:r>
          </w:p>
        </w:tc>
        <w:tc>
          <w:tcPr>
            <w:tcW w:type="dxa" w:w="380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Included five-character ICD-10-PCS codes or groups</w:t>
            </w:r>
          </w:p>
        </w:tc>
        <w:tc>
          <w:tcPr>
            <w:tcW w:type="dxa" w:w="336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2937"/>
                <w:sz w:val="16"/>
              </w:rPr>
              <w:t>Applied rule</w:t>
            </w:r>
          </w:p>
        </w:tc>
      </w:tr>
      <w:tr>
        <w:trPr>
          <w:cantSplit/>
          <w:trHeight w:hRule="atLeast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Tumor/skull-base</w:t>
            </w:r>
          </w:p>
        </w:tc>
        <w:tc>
          <w:tcPr>
            <w:tcW w:type="dxa" w:w="3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onsolas" w:hAnsi="Consolas" w:eastAsia="Consolas"/>
                <w:color w:val="1F4D78"/>
                <w:sz w:val="16"/>
              </w:rPr>
              <w:t>00B00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00B0X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00B0D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00B60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00B64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0GQ0*</w:t>
            </w:r>
          </w:p>
        </w:tc>
        <w:tc>
          <w:tcPr>
            <w:tcW w:type="dxa" w:w="3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 xml:space="preserve">The five listed </w:t>
            </w:r>
            <w:r>
              <w:rPr>
                <w:rFonts w:ascii="Consolas" w:hAnsi="Consolas" w:eastAsia="Consolas"/>
                <w:color w:val="1F4D78"/>
                <w:sz w:val="16"/>
              </w:rPr>
              <w:t>00B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 codes exactly, or any code beginning with </w:t>
            </w:r>
            <w:r>
              <w:rPr>
                <w:rFonts w:ascii="Consolas" w:hAnsi="Consolas" w:eastAsia="Consolas"/>
                <w:color w:val="1F4D78"/>
                <w:sz w:val="16"/>
              </w:rPr>
              <w:t>0GQ0</w:t>
            </w:r>
          </w:p>
        </w:tc>
      </w:tr>
      <w:tr>
        <w:trPr>
          <w:cantSplit/>
          <w:trHeight w:hRule="atLeast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Cerebrovascular</w:t>
            </w:r>
          </w:p>
        </w:tc>
        <w:tc>
          <w:tcPr>
            <w:tcW w:type="dxa" w:w="3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onsolas" w:hAnsi="Consolas" w:eastAsia="Consolas"/>
                <w:color w:val="1F4D78"/>
                <w:sz w:val="16"/>
              </w:rPr>
              <w:t>03LG*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03VG*</w:t>
            </w:r>
          </w:p>
        </w:tc>
        <w:tc>
          <w:tcPr>
            <w:tcW w:type="dxa" w:w="3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 xml:space="preserve">First three characters </w:t>
            </w:r>
            <w:r>
              <w:rPr>
                <w:rFonts w:ascii="Consolas" w:hAnsi="Consolas" w:eastAsia="Consolas"/>
                <w:color w:val="1F4D78"/>
                <w:sz w:val="16"/>
              </w:rPr>
              <w:t>03L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 or </w:t>
            </w:r>
            <w:r>
              <w:rPr>
                <w:rFonts w:ascii="Consolas" w:hAnsi="Consolas" w:eastAsia="Consolas"/>
                <w:color w:val="1F4D78"/>
                <w:sz w:val="16"/>
              </w:rPr>
              <w:t>03V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with </w:t>
            </w:r>
            <w:r>
              <w:rPr>
                <w:rFonts w:ascii="Consolas" w:hAnsi="Consolas" w:eastAsia="Consolas"/>
                <w:color w:val="1F4D78"/>
                <w:sz w:val="16"/>
              </w:rPr>
              <w:t>G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 as the fourth character</w:t>
            </w:r>
          </w:p>
        </w:tc>
      </w:tr>
      <w:tr>
        <w:trPr>
          <w:cantSplit/>
          <w:trHeight w:hRule="atLeast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Haemorrhage/decompression</w:t>
            </w:r>
          </w:p>
        </w:tc>
        <w:tc>
          <w:tcPr>
            <w:tcW w:type="dxa" w:w="3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onsolas" w:hAnsi="Consolas" w:eastAsia="Consolas"/>
                <w:color w:val="1F4D78"/>
                <w:sz w:val="16"/>
              </w:rPr>
              <w:t>00900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0090D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00907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00910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00913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00940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00D0X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0NB00</w:t>
            </w:r>
          </w:p>
        </w:tc>
        <w:tc>
          <w:tcPr>
            <w:tcW w:type="dxa" w:w="3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The eight listed five-character codes exactly</w:t>
            </w:r>
          </w:p>
        </w:tc>
      </w:tr>
      <w:tr>
        <w:trPr>
          <w:cantSplit/>
          <w:trHeight w:hRule="atLeast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Other intracranial</w:t>
            </w:r>
          </w:p>
        </w:tc>
        <w:tc>
          <w:tcPr>
            <w:tcW w:type="dxa" w:w="3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onsolas" w:hAnsi="Consolas" w:eastAsia="Consolas"/>
                <w:color w:val="1F4D78"/>
                <w:sz w:val="16"/>
              </w:rPr>
              <w:t>00L00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00Q00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00Q10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00Q60</w:t>
            </w:r>
            <w:r>
              <w:rPr>
                <w:rFonts w:ascii="Calibri" w:hAnsi="Calibri" w:eastAsia="Calibri"/>
                <w:color w:val="000000"/>
                <w:sz w:val="15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6"/>
              </w:rPr>
              <w:t>00T60</w:t>
            </w:r>
          </w:p>
        </w:tc>
        <w:tc>
          <w:tcPr>
            <w:tcW w:type="dxa" w:w="3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000000"/>
                <w:sz w:val="15"/>
              </w:rPr>
              <w:t>The five listed five-character codes exactly</w:t>
            </w:r>
          </w:p>
        </w:tc>
      </w:tr>
    </w:tbl>
    <w:p>
      <w:pPr>
        <w:pStyle w:val="TableNote"/>
        <w:spacing w:line="480" w:lineRule="auto"/>
      </w:pPr>
      <w:r>
        <w:rPr>
          <w:rFonts w:ascii="Calibri" w:hAnsi="Calibri" w:eastAsia="Calibri"/>
          <w:color w:val="000000"/>
          <w:sz w:val="22"/>
        </w:rPr>
        <w:t>An asterisk denotes any fifth character following the specified four-character prefix. All codes without an asterisk were matched exactly at five characters. Candidate operations additionally required age ≥18 years, general anaesthesia, neurosurgery department attribution, and a positive recorded operation duration. Diagnostic inspection and ventricular-shunt procedures were not included in the curated code set.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5940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1_FiO2_SpO2_Heat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4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before="80" w:after="80"/>
        <w:jc w:val="center"/>
      </w:pPr>
      <w:r>
        <w:rPr>
          <w:b w:val="0"/>
        </w:rPr>
        <w:t>Supplementary Figure S1. Joint FiO₂–SpO₂ distribution. The heat map displays paired intraoperative FiO₂ and SpO₂ observations, illustrating near-uniform adequate saturation and explaining the near-perfect correlation between TWAEO and mean FiO₂.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  <w:lnNumType w:countBy="1" w:distance="360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666666"/>
        <w:sz w:val="18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4" w:space="6" w:color="C9D2DC"/>
      </w:pBdr>
    </w:pPr>
    <w:r>
      <w:rPr>
        <w:rFonts w:ascii="Calibri" w:hAnsi="Calibri" w:eastAsia="Calibri"/>
        <w:b/>
        <w:color w:val="666666"/>
        <w:sz w:val="17"/>
      </w:rPr>
      <w:t>INSPIRE intracranial neurosurgery oxygen study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Note">
    <w:name w:val="Table Note"/>
    <w:pPr>
      <w:spacing w:before="80" w:after="80"/>
    </w:pPr>
    <w:rPr>
      <w:rFonts w:ascii="Calibri" w:hAnsi="Calibri"/>
      <w:i/>
      <w:color w:val="66666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Intraoperative Inspired Oxygen Exposure and Mechanical Ventilation Recorded 24–48 Hours After Intracranial Neurosurgery: An INSPIRE Cohort Study</dc:title>
  <dc:subject>BMC Anesthesiology technical-submission format</dc:subject>
  <dc:creator>Shikun Li; Xu Chen; Rudong Chen; Zhuo Yang; Yuyang Hou; Jiasheng Yu</dc:creator>
  <cp:keywords>FiO2, inspired oxygen, intracranial surgery, mechanical ventilation, INSPIRE</cp:keywords>
  <dc:description>Base preset: standard_business_brief; first-page pattern: memo_masthead adapted for a scientific manuscript.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