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9FEF4" w14:textId="77777777" w:rsidR="000421E4" w:rsidRDefault="000421E4" w:rsidP="000421E4">
      <w:pPr>
        <w:spacing w:line="360" w:lineRule="auto"/>
        <w:jc w:val="center"/>
        <w:rPr>
          <w:rFonts w:ascii="Book Antiqua" w:hAnsi="Book Antiqua" w:cs="Times New Roman"/>
          <w:color w:val="000000"/>
        </w:rPr>
      </w:pPr>
      <w:r w:rsidRPr="004F5A8E">
        <w:rPr>
          <w:rFonts w:ascii="Book Antiqua" w:hAnsi="Book Antiqua" w:cs="Times New Roman"/>
          <w:color w:val="000000"/>
        </w:rPr>
        <w:t>Annex</w:t>
      </w:r>
      <w:r>
        <w:rPr>
          <w:rFonts w:ascii="Book Antiqua" w:hAnsi="Book Antiqua" w:cs="Times New Roman"/>
          <w:color w:val="000000"/>
        </w:rPr>
        <w:t>-1</w:t>
      </w:r>
    </w:p>
    <w:p w14:paraId="2FD6DD10" w14:textId="77777777" w:rsidR="000421E4" w:rsidRPr="004D1E1C" w:rsidRDefault="000421E4" w:rsidP="000421E4">
      <w:pPr>
        <w:spacing w:line="360" w:lineRule="auto"/>
        <w:jc w:val="both"/>
        <w:rPr>
          <w:rFonts w:ascii="Book Antiqua" w:hAnsi="Book Antiqua" w:cs="Times New Roman"/>
          <w:color w:val="000000"/>
        </w:rPr>
      </w:pPr>
      <w:r>
        <w:rPr>
          <w:rFonts w:ascii="Book Antiqua" w:hAnsi="Book Antiqua" w:cs="Times New Roman"/>
          <w:color w:val="000000"/>
        </w:rPr>
        <w:t xml:space="preserve">Table: </w:t>
      </w:r>
      <w:r w:rsidRPr="004D1E1C">
        <w:rPr>
          <w:rFonts w:ascii="Book Antiqua" w:hAnsi="Book Antiqua" w:cs="Times New Roman"/>
          <w:color w:val="000000"/>
        </w:rPr>
        <w:t xml:space="preserve">Coefficient of </w:t>
      </w:r>
      <w:r w:rsidRPr="004D1E1C">
        <w:rPr>
          <w:rFonts w:ascii="Book Antiqua" w:hAnsi="Book Antiqua" w:cs="Times New Roman"/>
        </w:rPr>
        <w:t>Fixed-Effect Panel Regression Model for Overall Respiratory Health</w:t>
      </w:r>
    </w:p>
    <w:tbl>
      <w:tblPr>
        <w:tblW w:w="8916" w:type="dxa"/>
        <w:tblLook w:val="04A0" w:firstRow="1" w:lastRow="0" w:firstColumn="1" w:lastColumn="0" w:noHBand="0" w:noVBand="1"/>
      </w:tblPr>
      <w:tblGrid>
        <w:gridCol w:w="3218"/>
        <w:gridCol w:w="2212"/>
        <w:gridCol w:w="3157"/>
        <w:gridCol w:w="329"/>
      </w:tblGrid>
      <w:tr w:rsidR="000421E4" w:rsidRPr="009C300B" w14:paraId="52E91113" w14:textId="77777777" w:rsidTr="00BC1105">
        <w:trPr>
          <w:gridAfter w:val="1"/>
          <w:wAfter w:w="329" w:type="dxa"/>
          <w:trHeight w:val="350"/>
        </w:trPr>
        <w:tc>
          <w:tcPr>
            <w:tcW w:w="3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B838E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C300B">
              <w:rPr>
                <w:rFonts w:ascii="Book Antiqua" w:hAnsi="Book Antiqua" w:cs="Times New Roman"/>
                <w:b/>
                <w:bCs/>
                <w:color w:val="000000"/>
              </w:rPr>
              <w:t> Variables</w:t>
            </w:r>
          </w:p>
        </w:tc>
        <w:tc>
          <w:tcPr>
            <w:tcW w:w="22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22C922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C300B">
              <w:rPr>
                <w:rFonts w:ascii="Book Antiqua" w:hAnsi="Book Antiqua" w:cs="Times New Roman"/>
                <w:b/>
                <w:bCs/>
                <w:color w:val="000000"/>
              </w:rPr>
              <w:t>Coefficient</w:t>
            </w:r>
          </w:p>
        </w:tc>
        <w:tc>
          <w:tcPr>
            <w:tcW w:w="31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8B026E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C300B">
              <w:rPr>
                <w:rFonts w:ascii="Book Antiqua" w:hAnsi="Book Antiqua" w:cs="Times New Roman"/>
                <w:b/>
                <w:bCs/>
                <w:color w:val="000000"/>
              </w:rPr>
              <w:t>Robust Std. Error</w:t>
            </w:r>
          </w:p>
        </w:tc>
      </w:tr>
      <w:tr w:rsidR="000421E4" w:rsidRPr="009C300B" w14:paraId="1EC3FD56" w14:textId="77777777" w:rsidTr="00BC1105">
        <w:trPr>
          <w:gridAfter w:val="1"/>
          <w:wAfter w:w="329" w:type="dxa"/>
          <w:trHeight w:val="350"/>
        </w:trPr>
        <w:tc>
          <w:tcPr>
            <w:tcW w:w="3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240DAF2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C300B">
              <w:rPr>
                <w:rFonts w:ascii="Book Antiqua" w:hAnsi="Book Antiqua" w:cs="Times New Roman"/>
                <w:b/>
                <w:bCs/>
                <w:color w:val="000000"/>
              </w:rPr>
              <w:t>Respiratory Infection (Y)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1C55F9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C300B">
              <w:rPr>
                <w:rFonts w:ascii="Book Antiqua" w:hAnsi="Book Antiqua" w:cs="Times New Roman"/>
                <w:b/>
                <w:bCs/>
                <w:color w:val="000000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1B060D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b/>
                <w:bCs/>
                <w:color w:val="000000"/>
              </w:rPr>
            </w:pPr>
            <w:r w:rsidRPr="009C300B">
              <w:rPr>
                <w:rFonts w:ascii="Book Antiqua" w:hAnsi="Book Antiqua" w:cs="Times New Roman"/>
                <w:b/>
                <w:bCs/>
                <w:color w:val="000000"/>
              </w:rPr>
              <w:t> </w:t>
            </w:r>
          </w:p>
        </w:tc>
      </w:tr>
      <w:tr w:rsidR="000421E4" w:rsidRPr="009C300B" w14:paraId="2762EEEA" w14:textId="77777777" w:rsidTr="00BC1105">
        <w:trPr>
          <w:gridAfter w:val="1"/>
          <w:wAfter w:w="329" w:type="dxa"/>
          <w:trHeight w:val="350"/>
        </w:trPr>
        <w:tc>
          <w:tcPr>
            <w:tcW w:w="3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A9333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Population Density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DE5E4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 xml:space="preserve"> 0.001**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937EA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0.000</w:t>
            </w:r>
          </w:p>
        </w:tc>
      </w:tr>
      <w:tr w:rsidR="000421E4" w:rsidRPr="009C300B" w14:paraId="7F89BA93" w14:textId="77777777" w:rsidTr="00BC1105">
        <w:trPr>
          <w:gridAfter w:val="1"/>
          <w:wAfter w:w="329" w:type="dxa"/>
          <w:trHeight w:val="511"/>
        </w:trPr>
        <w:tc>
          <w:tcPr>
            <w:tcW w:w="32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7457DC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 xml:space="preserve">Type of cooking fuel: </w:t>
            </w:r>
          </w:p>
          <w:p w14:paraId="1F5B4606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 xml:space="preserve">clean fuel </w:t>
            </w:r>
          </w:p>
        </w:tc>
        <w:tc>
          <w:tcPr>
            <w:tcW w:w="22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9A2960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 xml:space="preserve"> 0.115</w:t>
            </w:r>
          </w:p>
        </w:tc>
        <w:tc>
          <w:tcPr>
            <w:tcW w:w="31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320F82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0.088</w:t>
            </w:r>
          </w:p>
        </w:tc>
      </w:tr>
      <w:tr w:rsidR="000421E4" w:rsidRPr="009C300B" w14:paraId="0A163DFE" w14:textId="77777777" w:rsidTr="00BC1105">
        <w:trPr>
          <w:trHeight w:val="191"/>
        </w:trPr>
        <w:tc>
          <w:tcPr>
            <w:tcW w:w="32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C79D20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1E3BB0D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31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8BC72D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4E0F1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0421E4" w:rsidRPr="009C300B" w14:paraId="06C5B34E" w14:textId="77777777" w:rsidTr="00BC1105">
        <w:trPr>
          <w:trHeight w:val="183"/>
        </w:trPr>
        <w:tc>
          <w:tcPr>
            <w:tcW w:w="32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54F4D8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Source of drinking Water: Improved</w:t>
            </w:r>
          </w:p>
        </w:tc>
        <w:tc>
          <w:tcPr>
            <w:tcW w:w="22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41C574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-0.239**</w:t>
            </w:r>
          </w:p>
        </w:tc>
        <w:tc>
          <w:tcPr>
            <w:tcW w:w="31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0DBD0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0.105</w:t>
            </w:r>
          </w:p>
        </w:tc>
        <w:tc>
          <w:tcPr>
            <w:tcW w:w="329" w:type="dxa"/>
            <w:vAlign w:val="center"/>
            <w:hideMark/>
          </w:tcPr>
          <w:p w14:paraId="113DB141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0421E4" w:rsidRPr="009C300B" w14:paraId="2B2231C6" w14:textId="77777777" w:rsidTr="00BC1105">
        <w:trPr>
          <w:trHeight w:val="191"/>
        </w:trPr>
        <w:tc>
          <w:tcPr>
            <w:tcW w:w="32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7C5CA6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FB37AD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31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3CCDA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69B56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0421E4" w:rsidRPr="009C300B" w14:paraId="263894FF" w14:textId="77777777" w:rsidTr="00BC1105">
        <w:trPr>
          <w:trHeight w:val="183"/>
        </w:trPr>
        <w:tc>
          <w:tcPr>
            <w:tcW w:w="32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DC3266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Toilet facilities: Improved</w:t>
            </w:r>
          </w:p>
        </w:tc>
        <w:tc>
          <w:tcPr>
            <w:tcW w:w="22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86591B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-0.007</w:t>
            </w:r>
          </w:p>
        </w:tc>
        <w:tc>
          <w:tcPr>
            <w:tcW w:w="31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1549C9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0.044</w:t>
            </w:r>
          </w:p>
        </w:tc>
        <w:tc>
          <w:tcPr>
            <w:tcW w:w="329" w:type="dxa"/>
            <w:vAlign w:val="center"/>
            <w:hideMark/>
          </w:tcPr>
          <w:p w14:paraId="1BBC69EE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0421E4" w:rsidRPr="009C300B" w14:paraId="573A69A5" w14:textId="77777777" w:rsidTr="00BC1105">
        <w:trPr>
          <w:trHeight w:val="191"/>
        </w:trPr>
        <w:tc>
          <w:tcPr>
            <w:tcW w:w="32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B8C3B1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83AF6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31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3ACB29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08491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0421E4" w:rsidRPr="009C300B" w14:paraId="56D3F70A" w14:textId="77777777" w:rsidTr="00BC1105">
        <w:trPr>
          <w:trHeight w:val="183"/>
        </w:trPr>
        <w:tc>
          <w:tcPr>
            <w:tcW w:w="321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F3CDE8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Electricity facility: Yes</w:t>
            </w:r>
          </w:p>
        </w:tc>
        <w:tc>
          <w:tcPr>
            <w:tcW w:w="221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2F3DDD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-0.077**</w:t>
            </w:r>
          </w:p>
        </w:tc>
        <w:tc>
          <w:tcPr>
            <w:tcW w:w="31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64EF12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 xml:space="preserve"> 0.035</w:t>
            </w:r>
          </w:p>
        </w:tc>
        <w:tc>
          <w:tcPr>
            <w:tcW w:w="329" w:type="dxa"/>
            <w:vAlign w:val="center"/>
            <w:hideMark/>
          </w:tcPr>
          <w:p w14:paraId="603470B0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0421E4" w:rsidRPr="009C300B" w14:paraId="5A2FDFAD" w14:textId="77777777" w:rsidTr="00BC1105">
        <w:trPr>
          <w:trHeight w:val="191"/>
        </w:trPr>
        <w:tc>
          <w:tcPr>
            <w:tcW w:w="321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B91214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2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F73BC5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31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BCB860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A237B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0421E4" w:rsidRPr="009C300B" w14:paraId="1CC0D8D4" w14:textId="77777777" w:rsidTr="00BC1105">
        <w:trPr>
          <w:trHeight w:val="191"/>
        </w:trPr>
        <w:tc>
          <w:tcPr>
            <w:tcW w:w="3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A4E050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Year (base:2011)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E4F8E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 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7EC30C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 </w:t>
            </w:r>
          </w:p>
        </w:tc>
        <w:tc>
          <w:tcPr>
            <w:tcW w:w="329" w:type="dxa"/>
            <w:vAlign w:val="center"/>
            <w:hideMark/>
          </w:tcPr>
          <w:p w14:paraId="540D4946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0421E4" w:rsidRPr="009C300B" w14:paraId="4A12CD78" w14:textId="77777777" w:rsidTr="00BC1105">
        <w:trPr>
          <w:trHeight w:val="191"/>
        </w:trPr>
        <w:tc>
          <w:tcPr>
            <w:tcW w:w="3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4AF1B1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2014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26E161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-0.024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1040F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0.0136</w:t>
            </w:r>
          </w:p>
        </w:tc>
        <w:tc>
          <w:tcPr>
            <w:tcW w:w="329" w:type="dxa"/>
            <w:vAlign w:val="center"/>
            <w:hideMark/>
          </w:tcPr>
          <w:p w14:paraId="1925614F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0421E4" w:rsidRPr="009C300B" w14:paraId="01F25500" w14:textId="77777777" w:rsidTr="00BC1105">
        <w:trPr>
          <w:trHeight w:val="191"/>
        </w:trPr>
        <w:tc>
          <w:tcPr>
            <w:tcW w:w="3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615BA8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2022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062323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-0.494***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7EA6CA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0.0173</w:t>
            </w:r>
          </w:p>
        </w:tc>
        <w:tc>
          <w:tcPr>
            <w:tcW w:w="329" w:type="dxa"/>
            <w:vAlign w:val="center"/>
            <w:hideMark/>
          </w:tcPr>
          <w:p w14:paraId="0BD1929D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  <w:tr w:rsidR="000421E4" w:rsidRPr="009C300B" w14:paraId="5F521222" w14:textId="77777777" w:rsidTr="00BC1105">
        <w:trPr>
          <w:trHeight w:val="191"/>
        </w:trPr>
        <w:tc>
          <w:tcPr>
            <w:tcW w:w="32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B38ACF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Constant</w:t>
            </w:r>
          </w:p>
        </w:tc>
        <w:tc>
          <w:tcPr>
            <w:tcW w:w="22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10EAE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 xml:space="preserve"> 1.016***</w:t>
            </w:r>
          </w:p>
        </w:tc>
        <w:tc>
          <w:tcPr>
            <w:tcW w:w="31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FCEDC6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  <w:r w:rsidRPr="009C300B">
              <w:rPr>
                <w:rFonts w:ascii="Book Antiqua" w:hAnsi="Book Antiqua" w:cs="Times New Roman"/>
                <w:color w:val="000000"/>
              </w:rPr>
              <w:t>0.1228</w:t>
            </w:r>
          </w:p>
        </w:tc>
        <w:tc>
          <w:tcPr>
            <w:tcW w:w="329" w:type="dxa"/>
            <w:vAlign w:val="center"/>
            <w:hideMark/>
          </w:tcPr>
          <w:p w14:paraId="003A8021" w14:textId="77777777" w:rsidR="000421E4" w:rsidRPr="009C300B" w:rsidRDefault="000421E4" w:rsidP="00BC1105">
            <w:pPr>
              <w:spacing w:line="360" w:lineRule="auto"/>
              <w:jc w:val="both"/>
              <w:rPr>
                <w:rFonts w:ascii="Book Antiqua" w:hAnsi="Book Antiqua" w:cs="Times New Roman"/>
                <w:color w:val="000000"/>
              </w:rPr>
            </w:pPr>
          </w:p>
        </w:tc>
      </w:tr>
    </w:tbl>
    <w:p w14:paraId="6A8E7944" w14:textId="77777777" w:rsidR="000421E4" w:rsidRDefault="000421E4" w:rsidP="000421E4">
      <w:pPr>
        <w:spacing w:line="360" w:lineRule="auto"/>
        <w:jc w:val="both"/>
        <w:rPr>
          <w:rFonts w:ascii="Book Antiqua" w:hAnsi="Book Antiqua" w:cs="Times New Roman"/>
          <w:color w:val="000000"/>
        </w:rPr>
      </w:pPr>
      <w:r w:rsidRPr="009C300B">
        <w:rPr>
          <w:rFonts w:ascii="Book Antiqua" w:hAnsi="Book Antiqua" w:cs="Times New Roman"/>
          <w:color w:val="000000"/>
        </w:rPr>
        <w:t>Note: **p&lt;0.05, ***p&lt;0.01</w:t>
      </w:r>
    </w:p>
    <w:p w14:paraId="6CFEB547" w14:textId="77777777" w:rsidR="009542D6" w:rsidRDefault="009542D6"/>
    <w:sectPr w:rsidR="0095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1E4"/>
    <w:rsid w:val="000421E4"/>
    <w:rsid w:val="00264C10"/>
    <w:rsid w:val="00470242"/>
    <w:rsid w:val="00486D0A"/>
    <w:rsid w:val="00726E03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647D3"/>
  <w15:chartTrackingRefBased/>
  <w15:docId w15:val="{BBF6B536-CDAA-4857-B286-5617EDB3C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1E4"/>
    <w:rPr>
      <w:rFonts w:eastAsia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2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2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2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2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2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2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2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2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2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2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2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1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21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21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21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21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21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2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42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2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042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21E4"/>
    <w:pPr>
      <w:spacing w:before="160"/>
      <w:jc w:val="center"/>
    </w:pPr>
    <w:rPr>
      <w:rFonts w:eastAsiaTheme="minorEastAsia"/>
      <w:i/>
      <w:iCs/>
      <w:color w:val="404040" w:themeColor="text1" w:themeTint="BF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0421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21E4"/>
    <w:pPr>
      <w:ind w:left="720"/>
      <w:contextualSpacing/>
    </w:pPr>
    <w:rPr>
      <w:rFonts w:eastAsiaTheme="minorEastAsia"/>
      <w:lang w:eastAsia="zh-CN"/>
    </w:rPr>
  </w:style>
  <w:style w:type="character" w:styleId="IntenseEmphasis">
    <w:name w:val="Intense Emphasis"/>
    <w:basedOn w:val="DefaultParagraphFont"/>
    <w:uiPriority w:val="21"/>
    <w:qFormat/>
    <w:rsid w:val="000421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0F4761" w:themeColor="accent1" w:themeShade="BF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1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21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2026-09-30T09:44:00Z</dcterms:created>
  <dcterms:modified xsi:type="dcterms:W3CDTF">2026-09-30T09:44:00Z</dcterms:modified>
</cp:coreProperties>
</file>