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8A66" w14:textId="4AD4C7F7" w:rsidR="00DB06DD" w:rsidRPr="00DB06DD" w:rsidRDefault="00DB06DD" w:rsidP="00DB06DD">
      <w:pPr>
        <w:spacing w:after="0" w:line="480" w:lineRule="auto"/>
        <w:rPr>
          <w:rFonts w:ascii="Times New Roman" w:hAnsi="Times New Roman" w:cs="Times New Roman"/>
          <w:sz w:val="24"/>
          <w:szCs w:val="24"/>
        </w:rPr>
      </w:pPr>
      <w:bookmarkStart w:id="0" w:name="_Hlk48680271"/>
      <w:r w:rsidRPr="00DB06DD">
        <w:rPr>
          <w:rFonts w:ascii="Times New Roman" w:hAnsi="Times New Roman" w:cs="Times New Roman"/>
          <w:sz w:val="24"/>
          <w:szCs w:val="24"/>
        </w:rPr>
        <w:t>[</w:t>
      </w:r>
      <w:r w:rsidR="002C580F">
        <w:rPr>
          <w:rFonts w:ascii="Times New Roman" w:hAnsi="Times New Roman" w:cs="Times New Roman"/>
          <w:sz w:val="24"/>
          <w:szCs w:val="24"/>
        </w:rPr>
        <w:t>Additional File</w:t>
      </w:r>
      <w:r w:rsidRPr="00DB06DD">
        <w:rPr>
          <w:rFonts w:ascii="Times New Roman" w:hAnsi="Times New Roman" w:cs="Times New Roman"/>
          <w:sz w:val="24"/>
          <w:szCs w:val="24"/>
        </w:rPr>
        <w:t>]</w:t>
      </w:r>
    </w:p>
    <w:p w14:paraId="3412E8E3" w14:textId="77777777" w:rsidR="005D3A28" w:rsidRPr="002F561E" w:rsidRDefault="005D3A28" w:rsidP="00DB06DD">
      <w:pPr>
        <w:spacing w:after="0" w:line="480" w:lineRule="auto"/>
        <w:rPr>
          <w:rFonts w:ascii="Times New Roman" w:hAnsi="Times New Roman" w:cs="Times New Roman"/>
          <w:sz w:val="24"/>
          <w:szCs w:val="24"/>
        </w:rPr>
      </w:pPr>
    </w:p>
    <w:p w14:paraId="2B2CD292" w14:textId="11F849D3" w:rsidR="00B7783C" w:rsidRDefault="008258F0" w:rsidP="00DB06DD">
      <w:pPr>
        <w:spacing w:after="0" w:line="480" w:lineRule="auto"/>
        <w:rPr>
          <w:rFonts w:ascii="Times New Roman" w:hAnsi="Times New Roman" w:cs="Times New Roman"/>
          <w:b/>
          <w:sz w:val="24"/>
          <w:szCs w:val="24"/>
        </w:rPr>
      </w:pPr>
      <w:r w:rsidRPr="008258F0">
        <w:rPr>
          <w:rFonts w:ascii="Times New Roman" w:hAnsi="Times New Roman" w:cs="Times New Roman"/>
          <w:b/>
          <w:sz w:val="24"/>
          <w:szCs w:val="24"/>
        </w:rPr>
        <w:t>Impaired diffusion capacity and pulmonary fibrosis after recovery from COVID-19: a systematic review and meta-analysis</w:t>
      </w:r>
    </w:p>
    <w:p w14:paraId="7D34E895" w14:textId="77777777" w:rsidR="008258F0" w:rsidRDefault="008258F0" w:rsidP="00DB06DD">
      <w:pPr>
        <w:spacing w:after="0" w:line="480" w:lineRule="auto"/>
        <w:rPr>
          <w:rFonts w:ascii="Times New Roman" w:hAnsi="Times New Roman" w:cs="Times New Roman"/>
          <w:i/>
          <w:sz w:val="24"/>
          <w:szCs w:val="24"/>
        </w:rPr>
      </w:pPr>
    </w:p>
    <w:bookmarkEnd w:id="0"/>
    <w:p w14:paraId="6279A25C" w14:textId="77777777" w:rsidR="00DB06DD" w:rsidRPr="00DB06DD" w:rsidRDefault="00DB06DD" w:rsidP="00DB06DD">
      <w:pPr>
        <w:widowControl/>
        <w:wordWrap/>
        <w:autoSpaceDE/>
        <w:autoSpaceDN/>
        <w:spacing w:after="0" w:line="480" w:lineRule="auto"/>
        <w:rPr>
          <w:rFonts w:ascii="Times New Roman" w:hAnsi="Times New Roman" w:cs="Times New Roman"/>
          <w:bCs/>
          <w:sz w:val="24"/>
          <w:szCs w:val="24"/>
          <w:vertAlign w:val="superscript"/>
        </w:rPr>
      </w:pPr>
      <w:r w:rsidRPr="00DB06DD">
        <w:rPr>
          <w:rFonts w:ascii="Times New Roman" w:hAnsi="Times New Roman" w:cs="Times New Roman"/>
          <w:sz w:val="24"/>
          <w:szCs w:val="24"/>
        </w:rPr>
        <w:t>Jong Hyuk Lee</w:t>
      </w:r>
      <w:r w:rsidRPr="00DB06DD">
        <w:rPr>
          <w:rFonts w:ascii="Times New Roman" w:hAnsi="Times New Roman" w:cs="Times New Roman"/>
          <w:sz w:val="24"/>
          <w:szCs w:val="24"/>
          <w:vertAlign w:val="superscript"/>
        </w:rPr>
        <w:t>1</w:t>
      </w:r>
      <w:r w:rsidRPr="00DB06DD">
        <w:rPr>
          <w:rFonts w:ascii="Times New Roman" w:hAnsi="Times New Roman" w:cs="Times New Roman"/>
          <w:sz w:val="24"/>
          <w:szCs w:val="24"/>
        </w:rPr>
        <w:t xml:space="preserve">, </w:t>
      </w:r>
      <w:r w:rsidRPr="00DB06DD">
        <w:rPr>
          <w:rFonts w:ascii="Times New Roman" w:hAnsi="Times New Roman" w:cs="Times New Roman"/>
          <w:bCs/>
          <w:sz w:val="24"/>
          <w:szCs w:val="24"/>
        </w:rPr>
        <w:t>Jae-Joon Yim</w:t>
      </w:r>
      <w:r w:rsidRPr="00DB06DD">
        <w:rPr>
          <w:rFonts w:ascii="Times New Roman" w:hAnsi="Times New Roman" w:cs="Times New Roman"/>
          <w:bCs/>
          <w:sz w:val="24"/>
          <w:szCs w:val="24"/>
          <w:vertAlign w:val="superscript"/>
        </w:rPr>
        <w:t>2</w:t>
      </w:r>
      <w:r w:rsidRPr="00DB06DD">
        <w:rPr>
          <w:rFonts w:ascii="Times New Roman" w:hAnsi="Times New Roman" w:cs="Times New Roman"/>
          <w:sz w:val="24"/>
          <w:szCs w:val="24"/>
        </w:rPr>
        <w:t>, Jimyung Park</w:t>
      </w:r>
      <w:r w:rsidRPr="00DB06DD">
        <w:rPr>
          <w:rFonts w:ascii="Times New Roman" w:hAnsi="Times New Roman" w:cs="Times New Roman"/>
          <w:sz w:val="24"/>
          <w:szCs w:val="24"/>
          <w:vertAlign w:val="superscript"/>
        </w:rPr>
        <w:t>3</w:t>
      </w:r>
      <w:r w:rsidRPr="00DB06DD">
        <w:rPr>
          <w:rFonts w:ascii="Times New Roman" w:hAnsi="Times New Roman" w:cs="Times New Roman"/>
          <w:sz w:val="24"/>
          <w:szCs w:val="24"/>
        </w:rPr>
        <w:t>,</w:t>
      </w:r>
    </w:p>
    <w:p w14:paraId="6F567C82" w14:textId="77777777" w:rsidR="00DB06DD" w:rsidRPr="00DB06DD" w:rsidRDefault="00DB06DD" w:rsidP="00DB06DD">
      <w:pPr>
        <w:widowControl/>
        <w:wordWrap/>
        <w:autoSpaceDE/>
        <w:autoSpaceDN/>
        <w:spacing w:after="0" w:line="480" w:lineRule="auto"/>
        <w:rPr>
          <w:rFonts w:ascii="Times New Roman" w:hAnsi="Times New Roman" w:cs="Times New Roman"/>
          <w:bCs/>
          <w:sz w:val="24"/>
          <w:szCs w:val="24"/>
        </w:rPr>
      </w:pPr>
    </w:p>
    <w:p w14:paraId="63F3864E" w14:textId="77777777" w:rsidR="00DB06DD" w:rsidRPr="00DB06DD" w:rsidRDefault="00DB06DD" w:rsidP="00DB06DD">
      <w:pPr>
        <w:widowControl/>
        <w:wordWrap/>
        <w:autoSpaceDE/>
        <w:autoSpaceDN/>
        <w:spacing w:after="0" w:line="480" w:lineRule="auto"/>
        <w:rPr>
          <w:rFonts w:ascii="Times New Roman" w:hAnsi="Times New Roman" w:cs="Times New Roman"/>
          <w:bCs/>
          <w:sz w:val="24"/>
          <w:szCs w:val="24"/>
          <w:vertAlign w:val="superscript"/>
        </w:rPr>
      </w:pPr>
      <w:r w:rsidRPr="00DB06DD">
        <w:rPr>
          <w:rFonts w:ascii="Times New Roman" w:hAnsi="Times New Roman" w:cs="Times New Roman"/>
          <w:bCs/>
          <w:sz w:val="24"/>
          <w:szCs w:val="24"/>
          <w:vertAlign w:val="superscript"/>
        </w:rPr>
        <w:t>1</w:t>
      </w:r>
      <w:r w:rsidRPr="00DB06DD">
        <w:rPr>
          <w:rFonts w:ascii="Times New Roman" w:hAnsi="Times New Roman" w:cs="Times New Roman"/>
          <w:bCs/>
          <w:sz w:val="24"/>
          <w:szCs w:val="24"/>
        </w:rPr>
        <w:t xml:space="preserve"> Department of Radiology, Seoul National University Hospital, Seoul, South Korea</w:t>
      </w:r>
      <w:r w:rsidRPr="00DB06DD">
        <w:rPr>
          <w:rFonts w:ascii="Times New Roman" w:hAnsi="Times New Roman" w:cs="Times New Roman"/>
          <w:bCs/>
          <w:sz w:val="24"/>
          <w:szCs w:val="24"/>
          <w:vertAlign w:val="superscript"/>
        </w:rPr>
        <w:t xml:space="preserve"> </w:t>
      </w:r>
    </w:p>
    <w:p w14:paraId="1B7B5B06" w14:textId="77777777" w:rsidR="00DB06DD" w:rsidRDefault="00DB06DD" w:rsidP="00DB06DD">
      <w:pPr>
        <w:widowControl/>
        <w:wordWrap/>
        <w:autoSpaceDE/>
        <w:autoSpaceDN/>
        <w:spacing w:after="0" w:line="480" w:lineRule="auto"/>
        <w:rPr>
          <w:rFonts w:ascii="Times New Roman" w:hAnsi="Times New Roman" w:cs="Times New Roman"/>
          <w:bCs/>
          <w:sz w:val="24"/>
          <w:szCs w:val="24"/>
        </w:rPr>
      </w:pPr>
      <w:r w:rsidRPr="00DB06DD">
        <w:rPr>
          <w:rFonts w:ascii="Times New Roman" w:hAnsi="Times New Roman" w:cs="Times New Roman"/>
          <w:bCs/>
          <w:sz w:val="24"/>
          <w:szCs w:val="24"/>
          <w:vertAlign w:val="superscript"/>
        </w:rPr>
        <w:t>2</w:t>
      </w:r>
      <w:r w:rsidRPr="00DB06DD">
        <w:rPr>
          <w:rFonts w:ascii="Times New Roman" w:hAnsi="Times New Roman" w:cs="Times New Roman"/>
          <w:bCs/>
          <w:sz w:val="24"/>
          <w:szCs w:val="24"/>
        </w:rPr>
        <w:t xml:space="preserve"> Division of Pulmonary and Critical Care Medicine, Department of Internal Medicine, Seoul National University College of Medicine, Seoul, South Korea</w:t>
      </w:r>
    </w:p>
    <w:p w14:paraId="55F7E3E1" w14:textId="35AF2717" w:rsidR="00DB06DD" w:rsidRPr="00DB06DD" w:rsidRDefault="00DB06DD" w:rsidP="00DB06DD">
      <w:pPr>
        <w:widowControl/>
        <w:wordWrap/>
        <w:autoSpaceDE/>
        <w:autoSpaceDN/>
        <w:spacing w:after="0" w:line="480" w:lineRule="auto"/>
        <w:rPr>
          <w:rFonts w:ascii="Times New Roman" w:hAnsi="Times New Roman" w:cs="Times New Roman"/>
          <w:bCs/>
          <w:sz w:val="24"/>
          <w:szCs w:val="24"/>
        </w:rPr>
      </w:pPr>
      <w:r w:rsidRPr="00DB06DD">
        <w:rPr>
          <w:rFonts w:ascii="Times New Roman" w:hAnsi="Times New Roman" w:cs="Times New Roman"/>
          <w:bCs/>
          <w:sz w:val="24"/>
          <w:szCs w:val="24"/>
          <w:vertAlign w:val="superscript"/>
        </w:rPr>
        <w:t>3</w:t>
      </w:r>
      <w:r w:rsidRPr="00DB06DD">
        <w:rPr>
          <w:rFonts w:ascii="Times New Roman" w:hAnsi="Times New Roman" w:cs="Times New Roman"/>
          <w:bCs/>
          <w:sz w:val="24"/>
          <w:szCs w:val="24"/>
        </w:rPr>
        <w:t xml:space="preserve"> Division of Pulmonary and Critical Care Medicine, Department of Internal Medicine, Seoul National University Hospital, Seoul, South Korea</w:t>
      </w:r>
    </w:p>
    <w:p w14:paraId="6AA09EFE" w14:textId="77777777" w:rsidR="00B7783C" w:rsidRDefault="00B7783C" w:rsidP="00F22EB5">
      <w:pPr>
        <w:widowControl/>
        <w:wordWrap/>
        <w:autoSpaceDE/>
        <w:autoSpaceDN/>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09A3F60C" w14:textId="60BDC0F7" w:rsidR="00FE1192" w:rsidRPr="00243BF8" w:rsidRDefault="00FE1192" w:rsidP="00F22EB5">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Appendix 1</w:t>
      </w:r>
      <w:r w:rsidRPr="00243BF8">
        <w:rPr>
          <w:rFonts w:ascii="Times New Roman" w:hAnsi="Times New Roman" w:cs="Times New Roman"/>
          <w:b/>
          <w:sz w:val="24"/>
          <w:szCs w:val="24"/>
        </w:rPr>
        <w:t xml:space="preserve"> - Literature search strategy</w:t>
      </w:r>
    </w:p>
    <w:p w14:paraId="73958BDA" w14:textId="77777777" w:rsidR="00563BE4" w:rsidRDefault="00563BE4" w:rsidP="00F22EB5">
      <w:pPr>
        <w:spacing w:after="0" w:line="360" w:lineRule="auto"/>
        <w:rPr>
          <w:rFonts w:ascii="Times New Roman" w:hAnsi="Times New Roman" w:cs="Times New Roman"/>
          <w:b/>
          <w:szCs w:val="20"/>
        </w:rPr>
      </w:pPr>
    </w:p>
    <w:p w14:paraId="7222F330" w14:textId="19F1FD77" w:rsidR="00FE1192" w:rsidRPr="00243BF8" w:rsidRDefault="00FE1192" w:rsidP="00F22EB5">
      <w:pPr>
        <w:spacing w:after="0" w:line="360" w:lineRule="auto"/>
        <w:rPr>
          <w:rFonts w:ascii="Times New Roman" w:hAnsi="Times New Roman" w:cs="Times New Roman"/>
          <w:b/>
          <w:szCs w:val="20"/>
        </w:rPr>
      </w:pPr>
      <w:r w:rsidRPr="00243BF8">
        <w:rPr>
          <w:rFonts w:ascii="Times New Roman" w:hAnsi="Times New Roman" w:cs="Times New Roman"/>
          <w:b/>
          <w:szCs w:val="20"/>
        </w:rPr>
        <w:t xml:space="preserve">Searched </w:t>
      </w:r>
      <w:r w:rsidRPr="00243BF8">
        <w:rPr>
          <w:rFonts w:ascii="Times New Roman" w:hAnsi="Times New Roman" w:cs="Times New Roman" w:hint="eastAsia"/>
          <w:b/>
          <w:szCs w:val="20"/>
        </w:rPr>
        <w:t>D</w:t>
      </w:r>
      <w:r w:rsidRPr="00243BF8">
        <w:rPr>
          <w:rFonts w:ascii="Times New Roman" w:hAnsi="Times New Roman" w:cs="Times New Roman"/>
          <w:b/>
          <w:szCs w:val="20"/>
        </w:rPr>
        <w:t>atabase: PubMed, Embase, Cochrane library</w:t>
      </w:r>
    </w:p>
    <w:p w14:paraId="41D8678E" w14:textId="77777777" w:rsidR="00FE1192" w:rsidRPr="00243BF8" w:rsidRDefault="00FE1192" w:rsidP="00F22EB5">
      <w:pPr>
        <w:spacing w:after="0" w:line="360" w:lineRule="auto"/>
        <w:rPr>
          <w:rFonts w:ascii="Times New Roman" w:hAnsi="Times New Roman" w:cs="Times New Roman"/>
          <w:b/>
          <w:szCs w:val="20"/>
        </w:rPr>
      </w:pPr>
    </w:p>
    <w:p w14:paraId="26099AD0" w14:textId="77777777" w:rsidR="00FE1192" w:rsidRPr="00243BF8" w:rsidRDefault="00FE1192" w:rsidP="00F22EB5">
      <w:pPr>
        <w:spacing w:after="0" w:line="360" w:lineRule="auto"/>
        <w:rPr>
          <w:rFonts w:ascii="Times New Roman" w:hAnsi="Times New Roman" w:cs="Times New Roman"/>
          <w:b/>
          <w:szCs w:val="20"/>
        </w:rPr>
      </w:pPr>
      <w:r w:rsidRPr="00243BF8">
        <w:rPr>
          <w:rFonts w:ascii="Times New Roman" w:hAnsi="Times New Roman" w:cs="Times New Roman"/>
          <w:b/>
          <w:szCs w:val="20"/>
        </w:rPr>
        <w:t xml:space="preserve">1) PubMed search strategy </w:t>
      </w:r>
    </w:p>
    <w:p w14:paraId="070B0F8F" w14:textId="6616BDC4" w:rsidR="00FE1192" w:rsidRPr="00FE1192" w:rsidRDefault="00FE1192"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b/>
          <w:szCs w:val="20"/>
        </w:rPr>
        <w:t xml:space="preserve">1. COVID-19 </w:t>
      </w:r>
    </w:p>
    <w:p w14:paraId="4E60A61C"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 xml:space="preserve">“COVID-19”[Mesh] OR “SARS-CoV-2”[Mesh] </w:t>
      </w:r>
    </w:p>
    <w:p w14:paraId="6CD14CBF"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OR</w:t>
      </w:r>
    </w:p>
    <w:p w14:paraId="347A2DA7"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“COVID*” OR “COVID-19” OR “Coronavirus*” OR “Coronavirus disease*” OR “Coronavirus disease 2019” OR “SARS-CoV-2” OR “CoV-2” OR “SARS-CoV” OR “SARS” OR “Severe acute respiratory syndrome” OR “2019-nCoV” OR “nCoV” OR "Novel coronavirus*”</w:t>
      </w:r>
    </w:p>
    <w:p w14:paraId="32ABCCC1" w14:textId="77777777" w:rsidR="00FE1192" w:rsidRDefault="00FE1192" w:rsidP="00F22EB5">
      <w:pPr>
        <w:spacing w:after="0" w:line="360" w:lineRule="auto"/>
        <w:rPr>
          <w:rFonts w:ascii="Times New Roman" w:hAnsi="Times New Roman" w:cs="Times New Roman"/>
          <w:b/>
          <w:szCs w:val="20"/>
        </w:rPr>
      </w:pPr>
    </w:p>
    <w:p w14:paraId="3EE88B8C" w14:textId="03DADE5C" w:rsidR="00FE1192" w:rsidRPr="00FE1192" w:rsidRDefault="00FE1192"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b/>
          <w:szCs w:val="20"/>
        </w:rPr>
        <w:t xml:space="preserve">2. Follow-up </w:t>
      </w:r>
    </w:p>
    <w:p w14:paraId="7A3E3E91"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“Long-COVID” OR “Post-acute COVID” OR “Post-COVID” OR "Follow-up" OR "Follow*" OR “Discharge*” OR “Recover*” OR “Surviv*” OR “Long-term” OR “Chronic” OR “Persistent” OR “Residual” OR “Sequel*” OR “Complication*” OR “Consequence*”</w:t>
      </w:r>
    </w:p>
    <w:p w14:paraId="21593EB4" w14:textId="77777777" w:rsidR="00FE1192" w:rsidRDefault="00FE1192" w:rsidP="00F22EB5">
      <w:pPr>
        <w:spacing w:after="0" w:line="360" w:lineRule="auto"/>
        <w:rPr>
          <w:rFonts w:ascii="Times New Roman" w:hAnsi="Times New Roman" w:cs="Times New Roman"/>
          <w:b/>
          <w:szCs w:val="20"/>
        </w:rPr>
      </w:pPr>
    </w:p>
    <w:p w14:paraId="4B966AC7" w14:textId="7A252470" w:rsidR="00FE1192" w:rsidRPr="00FE1192" w:rsidRDefault="00FE1192" w:rsidP="00F22EB5">
      <w:pPr>
        <w:spacing w:after="0" w:line="360" w:lineRule="auto"/>
        <w:rPr>
          <w:rFonts w:ascii="Times New Roman" w:hAnsi="Times New Roman" w:cs="Times New Roman"/>
          <w:b/>
          <w:szCs w:val="20"/>
        </w:rPr>
      </w:pPr>
      <w:r>
        <w:rPr>
          <w:rFonts w:ascii="Times New Roman" w:hAnsi="Times New Roman" w:cs="Times New Roman"/>
          <w:b/>
          <w:szCs w:val="20"/>
        </w:rPr>
        <w:t>#3</w:t>
      </w:r>
      <w:r w:rsidRPr="00FE1192">
        <w:rPr>
          <w:rFonts w:ascii="Times New Roman" w:hAnsi="Times New Roman" w:cs="Times New Roman"/>
          <w:b/>
          <w:szCs w:val="20"/>
        </w:rPr>
        <w:t>. Chest CT / P</w:t>
      </w:r>
      <w:r>
        <w:rPr>
          <w:rFonts w:ascii="Times New Roman" w:hAnsi="Times New Roman" w:cs="Times New Roman"/>
          <w:b/>
          <w:szCs w:val="20"/>
        </w:rPr>
        <w:t>ulmonary function test</w:t>
      </w:r>
    </w:p>
    <w:p w14:paraId="648B321A"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"Tomography, X-Ray Computed"[Mesh] OR "Respiratory Function Tests"[Mesh]</w:t>
      </w:r>
    </w:p>
    <w:p w14:paraId="4B0DF92B"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hint="eastAsia"/>
          <w:bCs/>
          <w:szCs w:val="20"/>
        </w:rPr>
        <w:t>O</w:t>
      </w:r>
      <w:r w:rsidRPr="00FE1192">
        <w:rPr>
          <w:rFonts w:ascii="Times New Roman" w:hAnsi="Times New Roman" w:cs="Times New Roman"/>
          <w:bCs/>
          <w:szCs w:val="20"/>
        </w:rPr>
        <w:t>R</w:t>
      </w:r>
    </w:p>
    <w:p w14:paraId="721CCBC6" w14:textId="77777777" w:rsidR="00FE1192" w:rsidRPr="00FE1192" w:rsidRDefault="00FE1192"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 xml:space="preserve">“Computed tomography” OR “CT” OR “Chest CT” OR “PFT” OR “Pulmonary function” OR “Respiratory function” OR “Lung function” OR “Spirometry” OR “Spirometer” OR “Diffusing capacity” OR “Diffusion capacity” OR “Diffusing” OR “Diffusion” OR “Transfer factor” OR “Transfer” </w:t>
      </w:r>
    </w:p>
    <w:p w14:paraId="55C24D03" w14:textId="384F6D7B" w:rsidR="00FE1192" w:rsidRDefault="00FE1192" w:rsidP="00F22EB5">
      <w:pPr>
        <w:spacing w:after="0" w:line="360" w:lineRule="auto"/>
        <w:rPr>
          <w:rFonts w:ascii="Times New Roman" w:hAnsi="Times New Roman" w:cs="Times New Roman"/>
          <w:b/>
          <w:szCs w:val="20"/>
        </w:rPr>
      </w:pPr>
    </w:p>
    <w:p w14:paraId="4881F227" w14:textId="0AADB4AF" w:rsidR="00FE1192" w:rsidRPr="00243BF8" w:rsidRDefault="00FE1192" w:rsidP="00F22EB5">
      <w:pPr>
        <w:spacing w:after="0" w:line="360" w:lineRule="auto"/>
        <w:rPr>
          <w:rFonts w:ascii="Times New Roman" w:hAnsi="Times New Roman" w:cs="Times New Roman"/>
          <w:b/>
          <w:szCs w:val="20"/>
        </w:rPr>
      </w:pPr>
      <w:r w:rsidRPr="00243BF8">
        <w:rPr>
          <w:rFonts w:ascii="Times New Roman" w:hAnsi="Times New Roman" w:cs="Times New Roman"/>
          <w:b/>
          <w:szCs w:val="20"/>
        </w:rPr>
        <w:t># Final search strategy</w:t>
      </w:r>
      <w:r w:rsidR="00FD549E">
        <w:rPr>
          <w:rFonts w:ascii="Times New Roman" w:hAnsi="Times New Roman" w:cs="Times New Roman"/>
          <w:b/>
          <w:szCs w:val="20"/>
        </w:rPr>
        <w:t xml:space="preserve">: </w:t>
      </w:r>
      <w:r w:rsidRPr="00243BF8">
        <w:rPr>
          <w:rFonts w:ascii="Times New Roman" w:hAnsi="Times New Roman" w:cs="Times New Roman"/>
          <w:b/>
          <w:szCs w:val="20"/>
        </w:rPr>
        <w:t xml:space="preserve">#1 AND </w:t>
      </w:r>
      <w:r>
        <w:rPr>
          <w:rFonts w:ascii="Times New Roman" w:hAnsi="Times New Roman" w:cs="Times New Roman"/>
          <w:b/>
          <w:szCs w:val="20"/>
        </w:rPr>
        <w:t>#2 AND #3</w:t>
      </w:r>
    </w:p>
    <w:p w14:paraId="5A27EB7D" w14:textId="77777777" w:rsidR="00FE1192" w:rsidRPr="00FE1192" w:rsidRDefault="00FE1192" w:rsidP="00F22EB5">
      <w:pPr>
        <w:spacing w:after="0" w:line="360" w:lineRule="auto"/>
        <w:rPr>
          <w:rFonts w:ascii="Times New Roman" w:hAnsi="Times New Roman" w:cs="Times New Roman"/>
          <w:b/>
          <w:szCs w:val="20"/>
        </w:rPr>
      </w:pPr>
    </w:p>
    <w:p w14:paraId="31A16EB9" w14:textId="77777777" w:rsidR="00FD549E" w:rsidRPr="00243BF8" w:rsidRDefault="00FD549E" w:rsidP="00F22EB5">
      <w:pPr>
        <w:spacing w:after="0" w:line="360" w:lineRule="auto"/>
        <w:rPr>
          <w:rFonts w:ascii="Times New Roman" w:hAnsi="Times New Roman" w:cs="Times New Roman"/>
          <w:b/>
          <w:szCs w:val="20"/>
        </w:rPr>
      </w:pPr>
      <w:r w:rsidRPr="00243BF8">
        <w:rPr>
          <w:rFonts w:ascii="Times New Roman" w:hAnsi="Times New Roman" w:cs="Times New Roman"/>
          <w:b/>
          <w:szCs w:val="20"/>
          <w:lang w:val="en"/>
        </w:rPr>
        <w:t xml:space="preserve">2) Embase </w:t>
      </w:r>
      <w:r w:rsidRPr="00243BF8">
        <w:rPr>
          <w:rFonts w:ascii="Times New Roman" w:hAnsi="Times New Roman" w:cs="Times New Roman"/>
          <w:b/>
          <w:szCs w:val="20"/>
        </w:rPr>
        <w:t xml:space="preserve">search strategy </w:t>
      </w:r>
    </w:p>
    <w:p w14:paraId="19216ED3" w14:textId="77777777" w:rsidR="00FD549E" w:rsidRPr="00FE1192" w:rsidRDefault="00FD549E"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hint="eastAsia"/>
          <w:b/>
          <w:szCs w:val="20"/>
        </w:rPr>
        <w:t>1</w:t>
      </w:r>
      <w:r w:rsidRPr="00FE1192">
        <w:rPr>
          <w:rFonts w:ascii="Times New Roman" w:hAnsi="Times New Roman" w:cs="Times New Roman"/>
          <w:b/>
          <w:szCs w:val="20"/>
        </w:rPr>
        <w:t>. COVID-19</w:t>
      </w:r>
    </w:p>
    <w:p w14:paraId="32A5504C"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'coronavirus disease 2019'/exp OR 'Severe acute respiratory syndrome coronavirus 2'/exp</w:t>
      </w:r>
    </w:p>
    <w:p w14:paraId="0B063D91"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hint="eastAsia"/>
          <w:bCs/>
          <w:szCs w:val="20"/>
        </w:rPr>
        <w:t>O</w:t>
      </w:r>
      <w:r w:rsidRPr="00FE1192">
        <w:rPr>
          <w:rFonts w:ascii="Times New Roman" w:hAnsi="Times New Roman" w:cs="Times New Roman"/>
          <w:bCs/>
          <w:szCs w:val="20"/>
        </w:rPr>
        <w:t>R</w:t>
      </w:r>
    </w:p>
    <w:p w14:paraId="0974A1DF"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‘COVID*’ OR ‘COVID-19’ OR ‘Coronavirus*’ OR ‘Coronavirus disease*’ OR ‘Coronavirus disease 2019’ OR ‘SARS-CoV-2’ OR ‘CoV-2’ OR ‘SARS-CoV’ OR ‘SARS’ OR ‘Severe acute respiratory syndrome’ OR ‘2019-nCoV’ OR ‘nCoV’ OR ‘Novel coronavirus*’</w:t>
      </w:r>
    </w:p>
    <w:p w14:paraId="5A729258" w14:textId="77777777" w:rsidR="00FD549E" w:rsidRDefault="00FD549E" w:rsidP="00F22EB5">
      <w:pPr>
        <w:spacing w:after="0" w:line="360" w:lineRule="auto"/>
        <w:rPr>
          <w:rFonts w:ascii="Times New Roman" w:hAnsi="Times New Roman" w:cs="Times New Roman"/>
          <w:b/>
          <w:szCs w:val="20"/>
        </w:rPr>
      </w:pPr>
    </w:p>
    <w:p w14:paraId="78652BDB" w14:textId="77777777" w:rsidR="00FD549E" w:rsidRPr="00FE1192" w:rsidRDefault="00FD549E"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b/>
          <w:szCs w:val="20"/>
        </w:rPr>
        <w:t xml:space="preserve">2. Follow-up </w:t>
      </w:r>
    </w:p>
    <w:p w14:paraId="5C50745B"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‘Long-COVID’ OR ‘Post-acute COVID’ OR ‘Post-COVID’ OR ‘Follow-up’ OR ‘Follow*’ OR ‘Discharge*’ OR ‘Recover*’ OR ‘Surviv*’ OR ‘Long-term’ OR ‘Chronic’ OR ‘Persistent’ OR ‘Residual’ OR ‘Sequel*’ OR ‘Complication*’ OR ‘Consequence*’</w:t>
      </w:r>
    </w:p>
    <w:p w14:paraId="51F0C79A" w14:textId="77777777" w:rsidR="00FD549E" w:rsidRPr="00FE1192" w:rsidRDefault="00FD549E" w:rsidP="00F22EB5">
      <w:pPr>
        <w:spacing w:after="0" w:line="360" w:lineRule="auto"/>
        <w:rPr>
          <w:rFonts w:ascii="Times New Roman" w:hAnsi="Times New Roman" w:cs="Times New Roman"/>
          <w:b/>
          <w:szCs w:val="20"/>
        </w:rPr>
      </w:pPr>
      <w:r>
        <w:rPr>
          <w:rFonts w:ascii="Times New Roman" w:hAnsi="Times New Roman" w:cs="Times New Roman"/>
          <w:b/>
          <w:szCs w:val="20"/>
        </w:rPr>
        <w:lastRenderedPageBreak/>
        <w:t>#</w:t>
      </w:r>
      <w:r w:rsidRPr="00FE1192">
        <w:rPr>
          <w:rFonts w:ascii="Times New Roman" w:hAnsi="Times New Roman" w:cs="Times New Roman" w:hint="eastAsia"/>
          <w:b/>
          <w:szCs w:val="20"/>
        </w:rPr>
        <w:t>3</w:t>
      </w:r>
      <w:r w:rsidRPr="00FE1192">
        <w:rPr>
          <w:rFonts w:ascii="Times New Roman" w:hAnsi="Times New Roman" w:cs="Times New Roman"/>
          <w:b/>
          <w:szCs w:val="20"/>
        </w:rPr>
        <w:t>. Chest CT / P</w:t>
      </w:r>
      <w:r>
        <w:rPr>
          <w:rFonts w:ascii="Times New Roman" w:hAnsi="Times New Roman" w:cs="Times New Roman"/>
          <w:b/>
          <w:szCs w:val="20"/>
        </w:rPr>
        <w:t>ulmonary function test</w:t>
      </w:r>
    </w:p>
    <w:p w14:paraId="1D263B09"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'computer assisted tomography'/exp OR 'lung function test'/exp</w:t>
      </w:r>
    </w:p>
    <w:p w14:paraId="5EB384CF"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hint="eastAsia"/>
          <w:bCs/>
          <w:szCs w:val="20"/>
        </w:rPr>
        <w:t>O</w:t>
      </w:r>
      <w:r w:rsidRPr="00FE1192">
        <w:rPr>
          <w:rFonts w:ascii="Times New Roman" w:hAnsi="Times New Roman" w:cs="Times New Roman"/>
          <w:bCs/>
          <w:szCs w:val="20"/>
        </w:rPr>
        <w:t>R</w:t>
      </w:r>
    </w:p>
    <w:p w14:paraId="27FAF069"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 xml:space="preserve">‘Computed tomography’ OR ‘CT’ OR ‘Chest CT’ OR ‘PFT’ OR ‘Pulmonary function’ OR ‘Respiratory function’ OR ‘Lung function’ OR ‘Spirometry’ OR ‘Spirometer’ OR ‘Diffusing capacity’ OR ‘Diffusion capacity’ OR ‘Diffusing’ OR ‘Diffusion’ OR ‘Transfer factor’ OR ‘Transfer’ </w:t>
      </w:r>
    </w:p>
    <w:p w14:paraId="60E5C59B" w14:textId="77777777" w:rsidR="00FD549E" w:rsidRPr="00FE1192" w:rsidRDefault="00FD549E" w:rsidP="00F22EB5">
      <w:pPr>
        <w:spacing w:after="0" w:line="360" w:lineRule="auto"/>
        <w:rPr>
          <w:rFonts w:ascii="Times New Roman" w:hAnsi="Times New Roman" w:cs="Times New Roman"/>
          <w:b/>
          <w:szCs w:val="20"/>
        </w:rPr>
      </w:pPr>
    </w:p>
    <w:p w14:paraId="69DAC6DD" w14:textId="0F1B9567" w:rsidR="00FD549E" w:rsidRPr="00243BF8" w:rsidRDefault="00FD549E" w:rsidP="00F22EB5">
      <w:pPr>
        <w:spacing w:after="0" w:line="360" w:lineRule="auto"/>
        <w:rPr>
          <w:rFonts w:ascii="Times New Roman" w:hAnsi="Times New Roman" w:cs="Times New Roman"/>
          <w:b/>
          <w:szCs w:val="20"/>
        </w:rPr>
      </w:pPr>
      <w:r w:rsidRPr="00243BF8">
        <w:rPr>
          <w:rFonts w:ascii="Times New Roman" w:hAnsi="Times New Roman" w:cs="Times New Roman"/>
          <w:b/>
          <w:szCs w:val="20"/>
        </w:rPr>
        <w:t># Final search strategy</w:t>
      </w:r>
      <w:r>
        <w:rPr>
          <w:rFonts w:ascii="Times New Roman" w:hAnsi="Times New Roman" w:cs="Times New Roman"/>
          <w:b/>
          <w:szCs w:val="20"/>
        </w:rPr>
        <w:t xml:space="preserve">: </w:t>
      </w:r>
      <w:r w:rsidRPr="00243BF8">
        <w:rPr>
          <w:rFonts w:ascii="Times New Roman" w:hAnsi="Times New Roman" w:cs="Times New Roman"/>
          <w:b/>
          <w:szCs w:val="20"/>
        </w:rPr>
        <w:t xml:space="preserve">#1 AND </w:t>
      </w:r>
      <w:r>
        <w:rPr>
          <w:rFonts w:ascii="Times New Roman" w:hAnsi="Times New Roman" w:cs="Times New Roman"/>
          <w:b/>
          <w:szCs w:val="20"/>
        </w:rPr>
        <w:t>#2 AND #3</w:t>
      </w:r>
    </w:p>
    <w:p w14:paraId="17809BE5" w14:textId="77777777" w:rsidR="00FE1192" w:rsidRPr="00FE1192" w:rsidRDefault="00FE1192" w:rsidP="00F22EB5">
      <w:pPr>
        <w:spacing w:after="0" w:line="360" w:lineRule="auto"/>
        <w:rPr>
          <w:rFonts w:ascii="Times New Roman" w:hAnsi="Times New Roman" w:cs="Times New Roman"/>
          <w:b/>
          <w:szCs w:val="20"/>
        </w:rPr>
      </w:pPr>
    </w:p>
    <w:p w14:paraId="3C1C114B" w14:textId="77777777" w:rsidR="00FD549E" w:rsidRPr="00243BF8" w:rsidRDefault="00FD549E" w:rsidP="00F22EB5">
      <w:pPr>
        <w:spacing w:after="0" w:line="360" w:lineRule="auto"/>
        <w:rPr>
          <w:rFonts w:ascii="Times New Roman" w:hAnsi="Times New Roman" w:cs="Times New Roman"/>
          <w:b/>
          <w:szCs w:val="20"/>
        </w:rPr>
      </w:pPr>
      <w:r w:rsidRPr="00243BF8">
        <w:rPr>
          <w:rFonts w:ascii="Times New Roman" w:hAnsi="Times New Roman" w:cs="Times New Roman"/>
          <w:b/>
          <w:szCs w:val="20"/>
          <w:lang w:val="en"/>
        </w:rPr>
        <w:t xml:space="preserve">3) Cochrane Library </w:t>
      </w:r>
      <w:r w:rsidRPr="00243BF8">
        <w:rPr>
          <w:rFonts w:ascii="Times New Roman" w:hAnsi="Times New Roman" w:cs="Times New Roman"/>
          <w:b/>
          <w:szCs w:val="20"/>
        </w:rPr>
        <w:t xml:space="preserve">search strategy </w:t>
      </w:r>
    </w:p>
    <w:p w14:paraId="1BD03ADF" w14:textId="77777777" w:rsidR="00FD549E" w:rsidRPr="00FE1192" w:rsidRDefault="00FD549E"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b/>
          <w:szCs w:val="20"/>
        </w:rPr>
        <w:t xml:space="preserve">1. COVID-19 </w:t>
      </w:r>
    </w:p>
    <w:p w14:paraId="1E6F4193"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 xml:space="preserve">MeSH descriptor: [COVID-19] explode all trees </w:t>
      </w:r>
    </w:p>
    <w:p w14:paraId="2D335F99"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OR</w:t>
      </w:r>
    </w:p>
    <w:p w14:paraId="26E73717"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COVID* OR COVID-19 OR Coronavirus* OR Coronavirus disease* OR Coronavirus disease 2019 OR SARS-CoV-2 OR CoV-2 OR SARS-CoV OR SARS OR Severe acute respiratory syndrome OR nCoV OR Novel coronavirus*</w:t>
      </w:r>
    </w:p>
    <w:p w14:paraId="0F394447" w14:textId="77777777" w:rsidR="00FD549E" w:rsidRPr="00FE1192" w:rsidRDefault="00FD549E" w:rsidP="00F22EB5">
      <w:pPr>
        <w:spacing w:after="0" w:line="360" w:lineRule="auto"/>
        <w:rPr>
          <w:rFonts w:ascii="Times New Roman" w:hAnsi="Times New Roman" w:cs="Times New Roman"/>
          <w:b/>
          <w:szCs w:val="20"/>
        </w:rPr>
      </w:pPr>
    </w:p>
    <w:p w14:paraId="22FCFFE2" w14:textId="77777777" w:rsidR="00FD549E" w:rsidRPr="00FE1192" w:rsidRDefault="00FD549E"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b/>
          <w:szCs w:val="20"/>
        </w:rPr>
        <w:t xml:space="preserve">2. Follow-up </w:t>
      </w:r>
    </w:p>
    <w:p w14:paraId="5EF13B65"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Long-COVID OR Post-acute COVID OR Post-COVID OR Follow-up OR Follow* OR Discharge* OR Recover* OR Surviv* OR Long-term OR Chronic OR Persistent OR Residual OR Sequel* OR Complication* OR Consequence*</w:t>
      </w:r>
    </w:p>
    <w:p w14:paraId="678077AB" w14:textId="77777777" w:rsidR="00FD549E" w:rsidRPr="00FE1192" w:rsidRDefault="00FD549E" w:rsidP="00F22EB5">
      <w:pPr>
        <w:spacing w:after="0" w:line="360" w:lineRule="auto"/>
        <w:rPr>
          <w:rFonts w:ascii="Times New Roman" w:hAnsi="Times New Roman" w:cs="Times New Roman"/>
          <w:b/>
          <w:szCs w:val="20"/>
        </w:rPr>
      </w:pPr>
    </w:p>
    <w:p w14:paraId="467BBD21" w14:textId="77777777" w:rsidR="00FD549E" w:rsidRPr="00FE1192" w:rsidRDefault="00FD549E" w:rsidP="00F22EB5">
      <w:pPr>
        <w:spacing w:after="0" w:line="360" w:lineRule="auto"/>
        <w:rPr>
          <w:rFonts w:ascii="Times New Roman" w:hAnsi="Times New Roman" w:cs="Times New Roman"/>
          <w:b/>
          <w:szCs w:val="20"/>
        </w:rPr>
      </w:pPr>
      <w:r>
        <w:rPr>
          <w:rFonts w:ascii="Times New Roman" w:hAnsi="Times New Roman" w:cs="Times New Roman"/>
          <w:b/>
          <w:szCs w:val="20"/>
        </w:rPr>
        <w:t>#</w:t>
      </w:r>
      <w:r w:rsidRPr="00FE1192">
        <w:rPr>
          <w:rFonts w:ascii="Times New Roman" w:hAnsi="Times New Roman" w:cs="Times New Roman" w:hint="eastAsia"/>
          <w:b/>
          <w:szCs w:val="20"/>
        </w:rPr>
        <w:t>3</w:t>
      </w:r>
      <w:r w:rsidRPr="00FE1192">
        <w:rPr>
          <w:rFonts w:ascii="Times New Roman" w:hAnsi="Times New Roman" w:cs="Times New Roman"/>
          <w:b/>
          <w:szCs w:val="20"/>
        </w:rPr>
        <w:t>. Chest CT / P</w:t>
      </w:r>
      <w:r>
        <w:rPr>
          <w:rFonts w:ascii="Times New Roman" w:hAnsi="Times New Roman" w:cs="Times New Roman"/>
          <w:b/>
          <w:szCs w:val="20"/>
        </w:rPr>
        <w:t>ulmonary function test</w:t>
      </w:r>
    </w:p>
    <w:p w14:paraId="141364F2" w14:textId="77777777" w:rsidR="00FD549E" w:rsidRPr="00FD549E"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MeSH descriptor: [Tomography, Emission-Computed] explode all trees</w:t>
      </w:r>
    </w:p>
    <w:p w14:paraId="4714561B" w14:textId="77777777" w:rsidR="00FD549E" w:rsidRPr="00FE1192" w:rsidRDefault="00FD549E" w:rsidP="00F22EB5">
      <w:pPr>
        <w:spacing w:after="0" w:line="360" w:lineRule="auto"/>
        <w:rPr>
          <w:rFonts w:ascii="Times New Roman" w:hAnsi="Times New Roman" w:cs="Times New Roman"/>
          <w:bCs/>
          <w:szCs w:val="20"/>
        </w:rPr>
      </w:pPr>
      <w:r w:rsidRPr="00FD549E">
        <w:rPr>
          <w:rFonts w:ascii="Times New Roman" w:hAnsi="Times New Roman" w:cs="Times New Roman" w:hint="eastAsia"/>
          <w:bCs/>
          <w:szCs w:val="20"/>
        </w:rPr>
        <w:t>O</w:t>
      </w:r>
      <w:r w:rsidRPr="00FD549E">
        <w:rPr>
          <w:rFonts w:ascii="Times New Roman" w:hAnsi="Times New Roman" w:cs="Times New Roman"/>
          <w:bCs/>
          <w:szCs w:val="20"/>
        </w:rPr>
        <w:t>R</w:t>
      </w:r>
    </w:p>
    <w:p w14:paraId="72381A81"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MeSH descriptor: [Respiratory Function Tests] explode all trees</w:t>
      </w:r>
    </w:p>
    <w:p w14:paraId="6D5DB8C0"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hint="eastAsia"/>
          <w:bCs/>
          <w:szCs w:val="20"/>
        </w:rPr>
        <w:t>O</w:t>
      </w:r>
      <w:r w:rsidRPr="00FE1192">
        <w:rPr>
          <w:rFonts w:ascii="Times New Roman" w:hAnsi="Times New Roman" w:cs="Times New Roman"/>
          <w:bCs/>
          <w:szCs w:val="20"/>
        </w:rPr>
        <w:t>R</w:t>
      </w:r>
    </w:p>
    <w:p w14:paraId="3F85A18D" w14:textId="77777777" w:rsidR="00FD549E" w:rsidRPr="00FE1192" w:rsidRDefault="00FD549E" w:rsidP="00F22EB5">
      <w:pPr>
        <w:spacing w:after="0" w:line="360" w:lineRule="auto"/>
        <w:rPr>
          <w:rFonts w:ascii="Times New Roman" w:hAnsi="Times New Roman" w:cs="Times New Roman"/>
          <w:bCs/>
          <w:szCs w:val="20"/>
        </w:rPr>
      </w:pPr>
      <w:r w:rsidRPr="00FE1192">
        <w:rPr>
          <w:rFonts w:ascii="Times New Roman" w:hAnsi="Times New Roman" w:cs="Times New Roman"/>
          <w:bCs/>
          <w:szCs w:val="20"/>
        </w:rPr>
        <w:t>Computed tomography OR CT OR Chest CT OR PFT OR Pulmonary function OR Respiratory function OR Lung function OR Spirometry OR Spirometer OR Diffusing capacity OR Diffusion capacity OR Diffusing OR Diffusion OR Transfer factor OR Transfer</w:t>
      </w:r>
    </w:p>
    <w:p w14:paraId="0493652F" w14:textId="77777777" w:rsidR="00FD549E" w:rsidRPr="00FE1192" w:rsidRDefault="00FD549E" w:rsidP="00F22EB5">
      <w:pPr>
        <w:spacing w:after="0" w:line="360" w:lineRule="auto"/>
        <w:rPr>
          <w:rFonts w:ascii="Times New Roman" w:hAnsi="Times New Roman" w:cs="Times New Roman"/>
          <w:b/>
          <w:szCs w:val="20"/>
        </w:rPr>
      </w:pPr>
    </w:p>
    <w:p w14:paraId="17F97E63" w14:textId="6C551856" w:rsidR="00BD002E" w:rsidRDefault="00FD549E" w:rsidP="00F22EB5">
      <w:pPr>
        <w:spacing w:after="0" w:line="360" w:lineRule="auto"/>
        <w:rPr>
          <w:rFonts w:ascii="Times New Roman" w:hAnsi="Times New Roman" w:cs="Times New Roman"/>
          <w:b/>
          <w:szCs w:val="20"/>
        </w:rPr>
      </w:pPr>
      <w:r w:rsidRPr="00243BF8">
        <w:rPr>
          <w:rFonts w:ascii="Times New Roman" w:hAnsi="Times New Roman" w:cs="Times New Roman"/>
          <w:b/>
          <w:szCs w:val="20"/>
        </w:rPr>
        <w:t xml:space="preserve"># Final search strategy: #1 AND </w:t>
      </w:r>
      <w:r>
        <w:rPr>
          <w:rFonts w:ascii="Times New Roman" w:hAnsi="Times New Roman" w:cs="Times New Roman"/>
          <w:b/>
          <w:szCs w:val="20"/>
        </w:rPr>
        <w:t>#2 AND #3</w:t>
      </w:r>
    </w:p>
    <w:p w14:paraId="40FD87AC" w14:textId="76DD7FC4" w:rsidR="008E182E" w:rsidRDefault="00BD002E" w:rsidP="00F22EB5">
      <w:pPr>
        <w:widowControl/>
        <w:wordWrap/>
        <w:autoSpaceDE/>
        <w:autoSpaceDN/>
        <w:spacing w:line="360" w:lineRule="auto"/>
        <w:rPr>
          <w:rFonts w:ascii="Times New Roman" w:hAnsi="Times New Roman" w:cs="Times New Roman"/>
          <w:b/>
          <w:szCs w:val="20"/>
        </w:rPr>
      </w:pPr>
      <w:r>
        <w:rPr>
          <w:rFonts w:ascii="Times New Roman" w:hAnsi="Times New Roman" w:cs="Times New Roman"/>
          <w:b/>
          <w:szCs w:val="20"/>
        </w:rPr>
        <w:br w:type="page"/>
      </w:r>
    </w:p>
    <w:p w14:paraId="732D4D83" w14:textId="34A143B0" w:rsidR="008E182E" w:rsidRDefault="008E182E" w:rsidP="00F22EB5">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Appendix 2</w:t>
      </w:r>
      <w:r w:rsidRPr="00243BF8">
        <w:rPr>
          <w:rFonts w:ascii="Times New Roman" w:hAnsi="Times New Roman" w:cs="Times New Roman"/>
          <w:b/>
          <w:sz w:val="24"/>
          <w:szCs w:val="24"/>
        </w:rPr>
        <w:t xml:space="preserve"> </w:t>
      </w:r>
      <w:r>
        <w:rPr>
          <w:rFonts w:ascii="Times New Roman" w:hAnsi="Times New Roman" w:cs="Times New Roman"/>
          <w:b/>
          <w:sz w:val="24"/>
          <w:szCs w:val="24"/>
        </w:rPr>
        <w:t>–</w:t>
      </w:r>
      <w:r>
        <w:rPr>
          <w:rFonts w:ascii="Times New Roman" w:hAnsi="Times New Roman" w:cs="Times New Roman" w:hint="eastAsia"/>
          <w:b/>
          <w:sz w:val="24"/>
          <w:szCs w:val="24"/>
        </w:rPr>
        <w:t xml:space="preserve"> </w:t>
      </w:r>
      <w:r>
        <w:rPr>
          <w:rFonts w:ascii="Times New Roman" w:hAnsi="Times New Roman" w:cs="Times New Roman"/>
          <w:b/>
          <w:sz w:val="24"/>
          <w:szCs w:val="24"/>
        </w:rPr>
        <w:t>Tools for a</w:t>
      </w:r>
      <w:r w:rsidRPr="008E182E">
        <w:rPr>
          <w:rFonts w:ascii="Times New Roman" w:hAnsi="Times New Roman" w:cs="Times New Roman"/>
          <w:b/>
          <w:sz w:val="24"/>
          <w:szCs w:val="24"/>
        </w:rPr>
        <w:t xml:space="preserve">ssessing risk of </w:t>
      </w:r>
      <w:r>
        <w:rPr>
          <w:rFonts w:ascii="Times New Roman" w:hAnsi="Times New Roman" w:cs="Times New Roman"/>
          <w:b/>
          <w:sz w:val="24"/>
          <w:szCs w:val="24"/>
        </w:rPr>
        <w:t>bias in this study</w:t>
      </w:r>
    </w:p>
    <w:p w14:paraId="64A2655B" w14:textId="77777777" w:rsidR="008E182E" w:rsidRPr="00243BF8" w:rsidRDefault="008E182E" w:rsidP="00F22EB5">
      <w:pPr>
        <w:spacing w:after="0" w:line="360" w:lineRule="auto"/>
        <w:rPr>
          <w:rFonts w:ascii="Times New Roman" w:hAnsi="Times New Roman" w:cs="Times New Roman"/>
          <w:b/>
          <w:szCs w:val="20"/>
        </w:rPr>
      </w:pPr>
    </w:p>
    <w:p w14:paraId="38AA9C12" w14:textId="77777777" w:rsidR="008E182E" w:rsidRDefault="008E182E" w:rsidP="00F22EB5">
      <w:pPr>
        <w:spacing w:after="0" w:line="360" w:lineRule="auto"/>
        <w:rPr>
          <w:rFonts w:ascii="Times New Roman" w:hAnsi="Times New Roman" w:cs="Times New Roman"/>
          <w:b/>
          <w:szCs w:val="20"/>
        </w:rPr>
      </w:pPr>
      <w:r w:rsidRPr="00243BF8">
        <w:rPr>
          <w:rFonts w:ascii="Times New Roman" w:hAnsi="Times New Roman" w:cs="Times New Roman"/>
          <w:b/>
          <w:szCs w:val="20"/>
        </w:rPr>
        <w:t xml:space="preserve">1) </w:t>
      </w:r>
      <w:r>
        <w:rPr>
          <w:rFonts w:ascii="Times New Roman" w:hAnsi="Times New Roman" w:cs="Times New Roman"/>
          <w:b/>
          <w:szCs w:val="20"/>
        </w:rPr>
        <w:t>External validity</w:t>
      </w:r>
    </w:p>
    <w:p w14:paraId="5B246DBE" w14:textId="6F2D6984" w:rsidR="008E182E" w:rsidRPr="008E182E" w:rsidRDefault="008E182E" w:rsidP="00F22EB5">
      <w:pPr>
        <w:spacing w:after="0" w:line="360" w:lineRule="auto"/>
        <w:rPr>
          <w:rFonts w:ascii="Times New Roman" w:hAnsi="Times New Roman" w:cs="Times New Roman"/>
          <w:bCs/>
          <w:szCs w:val="20"/>
        </w:rPr>
      </w:pPr>
      <w:r w:rsidRPr="008E182E">
        <w:rPr>
          <w:rFonts w:ascii="Times New Roman" w:hAnsi="Times New Roman" w:cs="Times New Roman" w:hint="eastAsia"/>
          <w:bCs/>
          <w:szCs w:val="20"/>
        </w:rPr>
        <w:t>#</w:t>
      </w:r>
      <w:r w:rsidRPr="008E182E">
        <w:rPr>
          <w:rFonts w:ascii="Times New Roman" w:hAnsi="Times New Roman" w:cs="Times New Roman"/>
          <w:bCs/>
          <w:szCs w:val="20"/>
        </w:rPr>
        <w:t>1. Was the study’s target population a close representation of the national population in relation to relevant variables?</w:t>
      </w:r>
    </w:p>
    <w:p w14:paraId="3C35DBC6" w14:textId="241148E0" w:rsidR="008E182E" w:rsidRDefault="008E182E" w:rsidP="00F22EB5">
      <w:pPr>
        <w:spacing w:after="0" w:line="360" w:lineRule="auto"/>
        <w:rPr>
          <w:rFonts w:ascii="Times New Roman" w:hAnsi="Times New Roman" w:cs="Times New Roman"/>
          <w:bCs/>
          <w:szCs w:val="20"/>
        </w:rPr>
      </w:pPr>
      <w:r w:rsidRPr="008E182E">
        <w:rPr>
          <w:rFonts w:ascii="Times New Roman" w:hAnsi="Times New Roman" w:cs="Times New Roman"/>
          <w:bCs/>
          <w:szCs w:val="20"/>
        </w:rPr>
        <w:t>#2. Was the sampling frame a true or close representation of the target population?</w:t>
      </w:r>
    </w:p>
    <w:p w14:paraId="46257A43" w14:textId="260B2B80"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3. Was some form of random selection used to select the sample,</w:t>
      </w:r>
      <w:r>
        <w:rPr>
          <w:rFonts w:ascii="Times New Roman" w:hAnsi="Times New Roman" w:cs="Times New Roman"/>
          <w:bCs/>
          <w:szCs w:val="20"/>
        </w:rPr>
        <w:t xml:space="preserve"> or</w:t>
      </w:r>
      <w:r w:rsidRPr="008E182E">
        <w:rPr>
          <w:rFonts w:ascii="Times New Roman" w:hAnsi="Times New Roman" w:cs="Times New Roman"/>
          <w:bCs/>
          <w:szCs w:val="20"/>
        </w:rPr>
        <w:t xml:space="preserve"> was a census undertaken?</w:t>
      </w:r>
    </w:p>
    <w:p w14:paraId="15909369" w14:textId="2AE082CB"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 xml:space="preserve">4. Was the likelihood of nonresponse bias minimal? </w:t>
      </w:r>
    </w:p>
    <w:p w14:paraId="02067E2A" w14:textId="77777777" w:rsidR="008E182E" w:rsidRPr="008E182E" w:rsidRDefault="008E182E" w:rsidP="00F22EB5">
      <w:pPr>
        <w:spacing w:after="0" w:line="360" w:lineRule="auto"/>
        <w:rPr>
          <w:rFonts w:ascii="Times New Roman" w:hAnsi="Times New Roman" w:cs="Times New Roman"/>
          <w:bCs/>
          <w:szCs w:val="20"/>
        </w:rPr>
      </w:pPr>
    </w:p>
    <w:p w14:paraId="49C0DF8B" w14:textId="4E22D19F" w:rsidR="008E182E" w:rsidRDefault="008E182E" w:rsidP="00F22EB5">
      <w:pPr>
        <w:spacing w:after="0" w:line="360" w:lineRule="auto"/>
        <w:rPr>
          <w:rFonts w:ascii="Times New Roman" w:hAnsi="Times New Roman" w:cs="Times New Roman"/>
          <w:b/>
          <w:szCs w:val="20"/>
        </w:rPr>
      </w:pPr>
      <w:r>
        <w:rPr>
          <w:rFonts w:ascii="Times New Roman" w:hAnsi="Times New Roman" w:cs="Times New Roman"/>
          <w:b/>
          <w:szCs w:val="20"/>
        </w:rPr>
        <w:t>2) Internal validity</w:t>
      </w:r>
    </w:p>
    <w:p w14:paraId="28D09BBB" w14:textId="20099458" w:rsidR="008E182E" w:rsidRDefault="008E182E" w:rsidP="00F22EB5">
      <w:pPr>
        <w:spacing w:after="0" w:line="360" w:lineRule="auto"/>
        <w:rPr>
          <w:rFonts w:ascii="Times New Roman" w:hAnsi="Times New Roman" w:cs="Times New Roman"/>
          <w:bCs/>
          <w:szCs w:val="20"/>
        </w:rPr>
      </w:pPr>
      <w:r w:rsidRPr="008E182E">
        <w:rPr>
          <w:rFonts w:ascii="Times New Roman" w:hAnsi="Times New Roman" w:cs="Times New Roman" w:hint="eastAsia"/>
          <w:bCs/>
          <w:szCs w:val="20"/>
        </w:rPr>
        <w:t>#</w:t>
      </w:r>
      <w:r w:rsidRPr="008E182E">
        <w:rPr>
          <w:rFonts w:ascii="Times New Roman" w:hAnsi="Times New Roman" w:cs="Times New Roman"/>
          <w:bCs/>
          <w:szCs w:val="20"/>
        </w:rPr>
        <w:t>5. Were data collected directly from the subjects (as opposed to a proxy)?</w:t>
      </w:r>
    </w:p>
    <w:p w14:paraId="2A8CBC20" w14:textId="2DB03DC6"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 xml:space="preserve">6. Was an acceptable case definition used in the study? </w:t>
      </w:r>
    </w:p>
    <w:p w14:paraId="5D3EB01E" w14:textId="57960404"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7. Was the study instrument that measured the parameter of</w:t>
      </w:r>
      <w:r>
        <w:rPr>
          <w:rFonts w:ascii="Times New Roman" w:hAnsi="Times New Roman" w:cs="Times New Roman"/>
          <w:bCs/>
          <w:szCs w:val="20"/>
        </w:rPr>
        <w:t xml:space="preserve"> </w:t>
      </w:r>
      <w:r w:rsidRPr="008E182E">
        <w:rPr>
          <w:rFonts w:ascii="Times New Roman" w:hAnsi="Times New Roman" w:cs="Times New Roman"/>
          <w:bCs/>
          <w:szCs w:val="20"/>
        </w:rPr>
        <w:t>interest shown to have validity and reliability?</w:t>
      </w:r>
    </w:p>
    <w:p w14:paraId="3124FBE6" w14:textId="7DF690BF"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 xml:space="preserve">8. Was the same mode of data collection used for all subjects? </w:t>
      </w:r>
    </w:p>
    <w:p w14:paraId="771BDEFD" w14:textId="2FB05E8B"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9. Was the length of the shortest prevalence period for the</w:t>
      </w:r>
      <w:r>
        <w:rPr>
          <w:rFonts w:ascii="Times New Roman" w:hAnsi="Times New Roman" w:cs="Times New Roman"/>
          <w:bCs/>
          <w:szCs w:val="20"/>
        </w:rPr>
        <w:t xml:space="preserve"> </w:t>
      </w:r>
      <w:r w:rsidRPr="008E182E">
        <w:rPr>
          <w:rFonts w:ascii="Times New Roman" w:hAnsi="Times New Roman" w:cs="Times New Roman"/>
          <w:bCs/>
          <w:szCs w:val="20"/>
        </w:rPr>
        <w:t>parameter of interest appropriate?</w:t>
      </w:r>
    </w:p>
    <w:p w14:paraId="1C27CECB" w14:textId="1879844E" w:rsidR="008E182E" w:rsidRDefault="008E182E" w:rsidP="00F22EB5">
      <w:pPr>
        <w:spacing w:after="0" w:line="360" w:lineRule="auto"/>
        <w:rPr>
          <w:rFonts w:ascii="Times New Roman" w:hAnsi="Times New Roman" w:cs="Times New Roman"/>
          <w:bCs/>
          <w:szCs w:val="20"/>
        </w:rPr>
      </w:pPr>
      <w:r>
        <w:rPr>
          <w:rFonts w:ascii="Times New Roman" w:hAnsi="Times New Roman" w:cs="Times New Roman" w:hint="eastAsia"/>
          <w:bCs/>
          <w:szCs w:val="20"/>
        </w:rPr>
        <w:t>#</w:t>
      </w:r>
      <w:r w:rsidRPr="008E182E">
        <w:rPr>
          <w:rFonts w:ascii="Times New Roman" w:hAnsi="Times New Roman" w:cs="Times New Roman"/>
          <w:bCs/>
          <w:szCs w:val="20"/>
        </w:rPr>
        <w:t>10. Were the numerator(s) and denominator(s) for the parameter of</w:t>
      </w:r>
      <w:r>
        <w:rPr>
          <w:rFonts w:ascii="Times New Roman" w:hAnsi="Times New Roman" w:cs="Times New Roman"/>
          <w:bCs/>
          <w:szCs w:val="20"/>
        </w:rPr>
        <w:t xml:space="preserve"> </w:t>
      </w:r>
      <w:r w:rsidRPr="008E182E">
        <w:rPr>
          <w:rFonts w:ascii="Times New Roman" w:hAnsi="Times New Roman" w:cs="Times New Roman"/>
          <w:bCs/>
          <w:szCs w:val="20"/>
        </w:rPr>
        <w:t>interest appropriate?</w:t>
      </w:r>
    </w:p>
    <w:p w14:paraId="08D568E6" w14:textId="7E25FABF" w:rsidR="008E182E" w:rsidRDefault="008E182E" w:rsidP="00F22EB5">
      <w:pPr>
        <w:spacing w:after="0" w:line="360" w:lineRule="auto"/>
        <w:rPr>
          <w:rFonts w:ascii="Times New Roman" w:hAnsi="Times New Roman" w:cs="Times New Roman"/>
          <w:bCs/>
          <w:szCs w:val="20"/>
        </w:rPr>
      </w:pPr>
    </w:p>
    <w:p w14:paraId="4EB2F7D1" w14:textId="59616FF0" w:rsidR="00563BE4" w:rsidRDefault="008E182E" w:rsidP="00F22EB5">
      <w:pPr>
        <w:spacing w:after="0" w:line="360" w:lineRule="auto"/>
        <w:rPr>
          <w:rFonts w:ascii="Times New Roman" w:hAnsi="Times New Roman" w:cs="Times New Roman"/>
          <w:szCs w:val="20"/>
        </w:rPr>
      </w:pPr>
      <w:r>
        <w:rPr>
          <w:rFonts w:ascii="Times New Roman" w:hAnsi="Times New Roman" w:cs="Times New Roman" w:hint="eastAsia"/>
          <w:bCs/>
          <w:szCs w:val="20"/>
        </w:rPr>
        <w:t>R</w:t>
      </w:r>
      <w:r>
        <w:rPr>
          <w:rFonts w:ascii="Times New Roman" w:hAnsi="Times New Roman" w:cs="Times New Roman"/>
          <w:bCs/>
          <w:szCs w:val="20"/>
        </w:rPr>
        <w:t xml:space="preserve">eference: </w:t>
      </w:r>
      <w:r w:rsidR="00DA5182" w:rsidRPr="00DA5182">
        <w:rPr>
          <w:rFonts w:ascii="Times New Roman" w:hAnsi="Times New Roman" w:cs="Times New Roman"/>
          <w:szCs w:val="20"/>
        </w:rPr>
        <w:t>Hoy D, Brooks P, Woolf A, Blyth F, March L, Bain C, et al. Assessing risk of bias in prevalence studies: modification of an existing tool and evidence of interrater agreement. J Clin Epidemiol. 2012;65(9):934-9</w:t>
      </w:r>
    </w:p>
    <w:p w14:paraId="0A103F9B" w14:textId="77777777" w:rsidR="00563BE4" w:rsidRDefault="00563BE4" w:rsidP="00F22EB5">
      <w:pPr>
        <w:widowControl/>
        <w:wordWrap/>
        <w:autoSpaceDE/>
        <w:autoSpaceDN/>
        <w:spacing w:line="360" w:lineRule="auto"/>
        <w:rPr>
          <w:rFonts w:ascii="Times New Roman" w:hAnsi="Times New Roman" w:cs="Times New Roman"/>
          <w:szCs w:val="20"/>
        </w:rPr>
      </w:pPr>
      <w:r>
        <w:rPr>
          <w:rFonts w:ascii="Times New Roman" w:hAnsi="Times New Roman" w:cs="Times New Roman"/>
          <w:szCs w:val="20"/>
        </w:rPr>
        <w:br w:type="page"/>
      </w:r>
    </w:p>
    <w:p w14:paraId="6FF06B5B" w14:textId="1F27D600" w:rsidR="00920A9A" w:rsidRDefault="00563BE4" w:rsidP="00F22EB5">
      <w:pPr>
        <w:spacing w:after="0" w:line="360" w:lineRule="auto"/>
        <w:rPr>
          <w:rFonts w:ascii="Times New Roman" w:hAnsi="Times New Roman" w:cs="Times New Roman"/>
          <w:bCs/>
          <w:sz w:val="24"/>
          <w:szCs w:val="24"/>
        </w:rPr>
      </w:pPr>
      <w:r>
        <w:rPr>
          <w:rFonts w:ascii="Times New Roman" w:hAnsi="Times New Roman" w:cs="Times New Roman"/>
          <w:b/>
          <w:sz w:val="24"/>
          <w:szCs w:val="24"/>
        </w:rPr>
        <w:lastRenderedPageBreak/>
        <w:t xml:space="preserve">Figure </w:t>
      </w:r>
      <w:r w:rsidR="002C580F">
        <w:rPr>
          <w:rFonts w:ascii="Times New Roman" w:hAnsi="Times New Roman" w:cs="Times New Roman"/>
          <w:b/>
          <w:sz w:val="24"/>
          <w:szCs w:val="24"/>
        </w:rPr>
        <w:t>S</w:t>
      </w:r>
      <w:r>
        <w:rPr>
          <w:rFonts w:ascii="Times New Roman" w:hAnsi="Times New Roman" w:cs="Times New Roman"/>
          <w:b/>
          <w:sz w:val="24"/>
          <w:szCs w:val="24"/>
        </w:rPr>
        <w:t xml:space="preserve">1. </w:t>
      </w:r>
      <w:r w:rsidR="00920A9A">
        <w:rPr>
          <w:rFonts w:ascii="Times New Roman" w:hAnsi="Times New Roman" w:cs="Times New Roman"/>
          <w:bCs/>
          <w:sz w:val="24"/>
          <w:szCs w:val="24"/>
        </w:rPr>
        <w:t xml:space="preserve">Forest plot </w:t>
      </w:r>
      <w:r w:rsidR="005D3A28">
        <w:rPr>
          <w:rFonts w:ascii="Times New Roman" w:hAnsi="Times New Roman" w:cs="Times New Roman"/>
          <w:bCs/>
          <w:sz w:val="24"/>
          <w:szCs w:val="24"/>
        </w:rPr>
        <w:t>presenting the</w:t>
      </w:r>
      <w:r w:rsidR="00920A9A">
        <w:rPr>
          <w:rFonts w:ascii="Times New Roman" w:hAnsi="Times New Roman" w:cs="Times New Roman"/>
          <w:bCs/>
          <w:sz w:val="24"/>
          <w:szCs w:val="24"/>
        </w:rPr>
        <w:t xml:space="preserve"> pooled estimate of forced expiratory volume in 1 second (FEV</w:t>
      </w:r>
      <w:r w:rsidR="00920A9A" w:rsidRPr="00920A9A">
        <w:rPr>
          <w:rFonts w:ascii="Times New Roman" w:hAnsi="Times New Roman" w:cs="Times New Roman"/>
          <w:bCs/>
          <w:sz w:val="24"/>
          <w:szCs w:val="24"/>
          <w:vertAlign w:val="subscript"/>
        </w:rPr>
        <w:t>1</w:t>
      </w:r>
      <w:r w:rsidR="00920A9A">
        <w:rPr>
          <w:rFonts w:ascii="Times New Roman" w:hAnsi="Times New Roman" w:cs="Times New Roman"/>
          <w:bCs/>
          <w:sz w:val="24"/>
          <w:szCs w:val="24"/>
        </w:rPr>
        <w:t>) in patients recovering from COVID-19</w:t>
      </w:r>
    </w:p>
    <w:p w14:paraId="75536436" w14:textId="31BFEB6C" w:rsidR="00920A9A" w:rsidRDefault="00920A9A" w:rsidP="00F22EB5">
      <w:pPr>
        <w:spacing w:after="0" w:line="360" w:lineRule="auto"/>
        <w:rPr>
          <w:rFonts w:ascii="Times New Roman" w:hAnsi="Times New Roman" w:cs="Times New Roman"/>
          <w:bCs/>
          <w:sz w:val="24"/>
          <w:szCs w:val="24"/>
        </w:rPr>
      </w:pPr>
      <w:r>
        <w:rPr>
          <w:rFonts w:ascii="Times New Roman" w:hAnsi="Times New Roman" w:cs="Times New Roman" w:hint="eastAsia"/>
          <w:bCs/>
          <w:sz w:val="24"/>
          <w:szCs w:val="24"/>
        </w:rPr>
        <w:t>A</w:t>
      </w:r>
      <w:r>
        <w:rPr>
          <w:rFonts w:ascii="Times New Roman" w:hAnsi="Times New Roman" w:cs="Times New Roman"/>
          <w:bCs/>
          <w:sz w:val="24"/>
          <w:szCs w:val="24"/>
        </w:rPr>
        <w:t>) Percent predicted value</w:t>
      </w:r>
      <w:r>
        <w:rPr>
          <w:rFonts w:ascii="Times New Roman" w:hAnsi="Times New Roman" w:cs="Times New Roman"/>
          <w:bCs/>
          <w:sz w:val="24"/>
          <w:szCs w:val="24"/>
        </w:rPr>
        <w:tab/>
      </w:r>
      <w:r>
        <w:rPr>
          <w:rFonts w:ascii="Times New Roman" w:hAnsi="Times New Roman" w:cs="Times New Roman"/>
          <w:bCs/>
          <w:sz w:val="24"/>
          <w:szCs w:val="24"/>
        </w:rPr>
        <w:tab/>
        <w:t>B) Prevalence of impaired FEV</w:t>
      </w:r>
      <w:r w:rsidRPr="00920A9A">
        <w:rPr>
          <w:rFonts w:ascii="Times New Roman" w:hAnsi="Times New Roman" w:cs="Times New Roman"/>
          <w:bCs/>
          <w:sz w:val="24"/>
          <w:szCs w:val="24"/>
          <w:vertAlign w:val="subscript"/>
        </w:rPr>
        <w:t>1</w:t>
      </w:r>
    </w:p>
    <w:p w14:paraId="4E7B4A8C" w14:textId="2D44D22D" w:rsidR="00563BE4" w:rsidRPr="00920A9A" w:rsidRDefault="00CA5D16" w:rsidP="00F22EB5">
      <w:pPr>
        <w:spacing w:after="0"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43FC471" wp14:editId="2FFC3F87">
            <wp:extent cx="5400000" cy="64800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00" cy="6480000"/>
                    </a:xfrm>
                    <a:prstGeom prst="rect">
                      <a:avLst/>
                    </a:prstGeom>
                  </pic:spPr>
                </pic:pic>
              </a:graphicData>
            </a:graphic>
          </wp:inline>
        </w:drawing>
      </w:r>
    </w:p>
    <w:p w14:paraId="48878197" w14:textId="77777777" w:rsidR="00CA5D16" w:rsidRDefault="00CA5D16">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14:paraId="5EF96F84" w14:textId="5415C7FE" w:rsidR="00920A9A" w:rsidRDefault="00563BE4" w:rsidP="00F22EB5">
      <w:pPr>
        <w:spacing w:after="0" w:line="360" w:lineRule="auto"/>
        <w:rPr>
          <w:rFonts w:ascii="Times New Roman" w:hAnsi="Times New Roman" w:cs="Times New Roman"/>
          <w:bCs/>
          <w:sz w:val="24"/>
          <w:szCs w:val="24"/>
        </w:rPr>
      </w:pPr>
      <w:r>
        <w:rPr>
          <w:rFonts w:ascii="Times New Roman" w:hAnsi="Times New Roman" w:cs="Times New Roman"/>
          <w:b/>
          <w:sz w:val="24"/>
          <w:szCs w:val="24"/>
        </w:rPr>
        <w:lastRenderedPageBreak/>
        <w:t xml:space="preserve">Figure </w:t>
      </w:r>
      <w:r w:rsidR="002C580F">
        <w:rPr>
          <w:rFonts w:ascii="Times New Roman" w:hAnsi="Times New Roman" w:cs="Times New Roman"/>
          <w:b/>
          <w:sz w:val="24"/>
          <w:szCs w:val="24"/>
        </w:rPr>
        <w:t>S</w:t>
      </w:r>
      <w:r>
        <w:rPr>
          <w:rFonts w:ascii="Times New Roman" w:hAnsi="Times New Roman" w:cs="Times New Roman"/>
          <w:b/>
          <w:sz w:val="24"/>
          <w:szCs w:val="24"/>
        </w:rPr>
        <w:t xml:space="preserve">2. </w:t>
      </w:r>
      <w:r w:rsidR="00920A9A">
        <w:rPr>
          <w:rFonts w:ascii="Times New Roman" w:hAnsi="Times New Roman" w:cs="Times New Roman"/>
          <w:bCs/>
          <w:sz w:val="24"/>
          <w:szCs w:val="24"/>
        </w:rPr>
        <w:t xml:space="preserve">Forest plot </w:t>
      </w:r>
      <w:r w:rsidR="005D3A28">
        <w:rPr>
          <w:rFonts w:ascii="Times New Roman" w:hAnsi="Times New Roman" w:cs="Times New Roman"/>
          <w:bCs/>
          <w:sz w:val="24"/>
          <w:szCs w:val="24"/>
        </w:rPr>
        <w:t>presenting the</w:t>
      </w:r>
      <w:r w:rsidR="00920A9A">
        <w:rPr>
          <w:rFonts w:ascii="Times New Roman" w:hAnsi="Times New Roman" w:cs="Times New Roman"/>
          <w:bCs/>
          <w:sz w:val="24"/>
          <w:szCs w:val="24"/>
        </w:rPr>
        <w:t xml:space="preserve"> pooled estimate of forced vital capacity (FVC) in patients recovering from COVID-19</w:t>
      </w:r>
    </w:p>
    <w:p w14:paraId="0636B3A5" w14:textId="773CDAE6" w:rsidR="00E5707C" w:rsidRDefault="00920A9A" w:rsidP="00F22EB5">
      <w:pPr>
        <w:spacing w:after="0" w:line="360" w:lineRule="auto"/>
        <w:rPr>
          <w:rFonts w:ascii="Times New Roman" w:hAnsi="Times New Roman" w:cs="Times New Roman"/>
          <w:bCs/>
          <w:sz w:val="24"/>
          <w:szCs w:val="24"/>
        </w:rPr>
      </w:pPr>
      <w:r>
        <w:rPr>
          <w:rFonts w:ascii="Times New Roman" w:hAnsi="Times New Roman" w:cs="Times New Roman" w:hint="eastAsia"/>
          <w:bCs/>
          <w:sz w:val="24"/>
          <w:szCs w:val="24"/>
        </w:rPr>
        <w:t>A</w:t>
      </w:r>
      <w:r>
        <w:rPr>
          <w:rFonts w:ascii="Times New Roman" w:hAnsi="Times New Roman" w:cs="Times New Roman"/>
          <w:bCs/>
          <w:sz w:val="24"/>
          <w:szCs w:val="24"/>
        </w:rPr>
        <w:t>) Percent predicted value</w:t>
      </w:r>
      <w:r>
        <w:rPr>
          <w:rFonts w:ascii="Times New Roman" w:hAnsi="Times New Roman" w:cs="Times New Roman"/>
          <w:bCs/>
          <w:sz w:val="24"/>
          <w:szCs w:val="24"/>
        </w:rPr>
        <w:tab/>
      </w:r>
      <w:r>
        <w:rPr>
          <w:rFonts w:ascii="Times New Roman" w:hAnsi="Times New Roman" w:cs="Times New Roman"/>
          <w:bCs/>
          <w:sz w:val="24"/>
          <w:szCs w:val="24"/>
        </w:rPr>
        <w:tab/>
        <w:t>B) Prevalence of impaired FVC</w:t>
      </w:r>
    </w:p>
    <w:p w14:paraId="300BC9A9" w14:textId="77777777" w:rsidR="00CA5D16" w:rsidRDefault="00CA5D16" w:rsidP="00F22EB5">
      <w:pPr>
        <w:spacing w:after="0" w:line="360" w:lineRule="auto"/>
        <w:rPr>
          <w:rFonts w:ascii="Times New Roman" w:hAnsi="Times New Roman" w:cs="Times New Roman"/>
          <w:bCs/>
          <w:sz w:val="24"/>
          <w:szCs w:val="24"/>
        </w:rPr>
        <w:sectPr w:rsidR="00CA5D16" w:rsidSect="00BD002E">
          <w:footerReference w:type="default" r:id="rId7"/>
          <w:pgSz w:w="11906" w:h="16838"/>
          <w:pgMar w:top="1440" w:right="1440" w:bottom="1440" w:left="1440" w:header="851" w:footer="992" w:gutter="0"/>
          <w:cols w:space="425"/>
          <w:docGrid w:linePitch="360"/>
        </w:sectPr>
      </w:pPr>
      <w:r>
        <w:rPr>
          <w:rFonts w:ascii="Times New Roman" w:hAnsi="Times New Roman" w:cs="Times New Roman"/>
          <w:bCs/>
          <w:noProof/>
          <w:sz w:val="24"/>
          <w:szCs w:val="24"/>
        </w:rPr>
        <w:drawing>
          <wp:inline distT="0" distB="0" distL="0" distR="0" wp14:anchorId="14A9C14C" wp14:editId="3C14FACD">
            <wp:extent cx="5400000" cy="7504902"/>
            <wp:effectExtent l="0" t="0" r="0" b="1270"/>
            <wp:docPr id="2" name="그림 2" descr="테이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descr="테이블이(가) 표시된 사진&#10;&#10;자동 생성된 설명"/>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7504902"/>
                    </a:xfrm>
                    <a:prstGeom prst="rect">
                      <a:avLst/>
                    </a:prstGeom>
                  </pic:spPr>
                </pic:pic>
              </a:graphicData>
            </a:graphic>
          </wp:inline>
        </w:drawing>
      </w:r>
    </w:p>
    <w:p w14:paraId="5AD0F6F4" w14:textId="066DDF84" w:rsidR="00920A9A" w:rsidRDefault="00E5707C" w:rsidP="00CA5D16">
      <w:pPr>
        <w:widowControl/>
        <w:wordWrap/>
        <w:autoSpaceDE/>
        <w:autoSpaceDN/>
        <w:rPr>
          <w:rFonts w:ascii="Times New Roman" w:hAnsi="Times New Roman" w:cs="Times New Roman"/>
          <w:sz w:val="24"/>
          <w:szCs w:val="24"/>
        </w:rPr>
      </w:pPr>
      <w:r>
        <w:rPr>
          <w:rFonts w:ascii="Times New Roman" w:hAnsi="Times New Roman" w:cs="Times New Roman"/>
          <w:b/>
          <w:sz w:val="24"/>
          <w:szCs w:val="24"/>
        </w:rPr>
        <w:lastRenderedPageBreak/>
        <w:t xml:space="preserve">Figure </w:t>
      </w:r>
      <w:r w:rsidR="002C580F">
        <w:rPr>
          <w:rFonts w:ascii="Times New Roman" w:hAnsi="Times New Roman" w:cs="Times New Roman"/>
          <w:b/>
          <w:sz w:val="24"/>
          <w:szCs w:val="24"/>
        </w:rPr>
        <w:t>S</w:t>
      </w:r>
      <w:r>
        <w:rPr>
          <w:rFonts w:ascii="Times New Roman" w:hAnsi="Times New Roman" w:cs="Times New Roman"/>
          <w:b/>
          <w:sz w:val="24"/>
          <w:szCs w:val="24"/>
        </w:rPr>
        <w:t xml:space="preserve">3. </w:t>
      </w:r>
      <w:r w:rsidR="00920A9A">
        <w:rPr>
          <w:rFonts w:ascii="Times New Roman" w:hAnsi="Times New Roman" w:cs="Times New Roman"/>
          <w:bCs/>
          <w:sz w:val="24"/>
          <w:szCs w:val="24"/>
        </w:rPr>
        <w:t xml:space="preserve">Funnel </w:t>
      </w:r>
      <w:r w:rsidR="00920A9A" w:rsidRPr="00A31155">
        <w:rPr>
          <w:rFonts w:ascii="Times New Roman" w:hAnsi="Times New Roman" w:cs="Times New Roman"/>
          <w:sz w:val="24"/>
          <w:szCs w:val="24"/>
        </w:rPr>
        <w:t xml:space="preserve">plots </w:t>
      </w:r>
      <w:r w:rsidR="005D3A28">
        <w:rPr>
          <w:rFonts w:ascii="Times New Roman" w:hAnsi="Times New Roman" w:cs="Times New Roman"/>
          <w:sz w:val="24"/>
          <w:szCs w:val="24"/>
        </w:rPr>
        <w:t>presenting</w:t>
      </w:r>
      <w:r w:rsidR="00920A9A" w:rsidRPr="00A31155">
        <w:rPr>
          <w:rFonts w:ascii="Times New Roman" w:hAnsi="Times New Roman" w:cs="Times New Roman"/>
          <w:sz w:val="24"/>
          <w:szCs w:val="24"/>
        </w:rPr>
        <w:t xml:space="preserve"> publication biases of studi</w:t>
      </w:r>
      <w:r w:rsidR="00920A9A">
        <w:rPr>
          <w:rFonts w:ascii="Times New Roman" w:hAnsi="Times New Roman" w:cs="Times New Roman"/>
          <w:sz w:val="24"/>
          <w:szCs w:val="24"/>
        </w:rPr>
        <w:t>es on each outcomes</w:t>
      </w:r>
    </w:p>
    <w:p w14:paraId="1300C885" w14:textId="11E45C2F" w:rsidR="00920A9A" w:rsidRDefault="00920A9A" w:rsidP="00F22EB5">
      <w:pPr>
        <w:spacing w:after="0" w:line="360" w:lineRule="auto"/>
        <w:rPr>
          <w:rFonts w:ascii="Times New Roman" w:hAnsi="Times New Roman" w:cs="Times New Roman"/>
          <w:sz w:val="24"/>
          <w:szCs w:val="24"/>
        </w:rPr>
      </w:pPr>
      <w:r w:rsidRPr="00A31155">
        <w:rPr>
          <w:rFonts w:ascii="Times New Roman" w:hAnsi="Times New Roman" w:cs="Times New Roman"/>
          <w:sz w:val="24"/>
          <w:szCs w:val="24"/>
        </w:rPr>
        <w:t xml:space="preserve">A) </w:t>
      </w:r>
      <w:r>
        <w:rPr>
          <w:rFonts w:ascii="Times New Roman" w:hAnsi="Times New Roman" w:cs="Times New Roman"/>
          <w:sz w:val="24"/>
          <w:szCs w:val="24"/>
        </w:rPr>
        <w:t>Diffusion capacity of carbon monoxide</w:t>
      </w:r>
      <w:r w:rsidR="00CA5D16">
        <w:rPr>
          <w:rFonts w:ascii="Times New Roman" w:hAnsi="Times New Roman" w:cs="Times New Roman"/>
          <w:sz w:val="24"/>
          <w:szCs w:val="24"/>
        </w:rPr>
        <w:tab/>
      </w:r>
      <w:r>
        <w:rPr>
          <w:rFonts w:ascii="Times New Roman" w:hAnsi="Times New Roman" w:cs="Times New Roman"/>
          <w:sz w:val="24"/>
          <w:szCs w:val="24"/>
        </w:rPr>
        <w:t>B) Forced expiratory volume in 1 second</w:t>
      </w:r>
      <w:r w:rsidR="00CA5D16">
        <w:rPr>
          <w:rFonts w:ascii="Times New Roman" w:hAnsi="Times New Roman" w:cs="Times New Roman"/>
          <w:sz w:val="24"/>
          <w:szCs w:val="24"/>
        </w:rPr>
        <w:tab/>
      </w:r>
      <w:r w:rsidR="00CA5D16">
        <w:rPr>
          <w:rFonts w:ascii="Times New Roman" w:hAnsi="Times New Roman" w:cs="Times New Roman"/>
          <w:sz w:val="24"/>
          <w:szCs w:val="24"/>
        </w:rPr>
        <w:tab/>
      </w:r>
      <w:r>
        <w:rPr>
          <w:rFonts w:ascii="Times New Roman" w:hAnsi="Times New Roman" w:cs="Times New Roman"/>
          <w:sz w:val="24"/>
          <w:szCs w:val="24"/>
        </w:rPr>
        <w:t>C) Forced vital capacity</w:t>
      </w:r>
    </w:p>
    <w:p w14:paraId="2909A380" w14:textId="4C7D5357" w:rsidR="00CA5D16" w:rsidRDefault="00920A9A" w:rsidP="00CA5D16">
      <w:pPr>
        <w:spacing w:after="0" w:line="360" w:lineRule="auto"/>
        <w:rPr>
          <w:rFonts w:ascii="Times New Roman" w:eastAsiaTheme="majorHAnsi" w:hAnsi="Times New Roman" w:cs="Times New Roman"/>
          <w:bCs/>
          <w:sz w:val="24"/>
          <w:szCs w:val="24"/>
        </w:rPr>
      </w:pPr>
      <w:r>
        <w:rPr>
          <w:rFonts w:ascii="Times New Roman" w:hAnsi="Times New Roman" w:cs="Times New Roman"/>
          <w:sz w:val="24"/>
          <w:szCs w:val="24"/>
        </w:rPr>
        <w:t xml:space="preserve">D) </w:t>
      </w:r>
      <w:r w:rsidR="00F22EB5">
        <w:rPr>
          <w:rFonts w:ascii="Times New Roman" w:hAnsi="Times New Roman" w:cs="Times New Roman"/>
          <w:sz w:val="24"/>
          <w:szCs w:val="24"/>
        </w:rPr>
        <w:t xml:space="preserve">Pulmonary fibrosis </w:t>
      </w:r>
      <w:r w:rsidR="00CA5D16">
        <w:rPr>
          <w:rFonts w:ascii="Times New Roman" w:hAnsi="Times New Roman" w:cs="Times New Roman"/>
          <w:sz w:val="24"/>
          <w:szCs w:val="24"/>
        </w:rPr>
        <w:tab/>
      </w:r>
      <w:r w:rsidR="00CA5D16">
        <w:rPr>
          <w:rFonts w:ascii="Times New Roman" w:hAnsi="Times New Roman" w:cs="Times New Roman"/>
          <w:sz w:val="24"/>
          <w:szCs w:val="24"/>
        </w:rPr>
        <w:tab/>
      </w:r>
      <w:r w:rsidR="00CA5D16">
        <w:rPr>
          <w:rFonts w:ascii="Times New Roman" w:hAnsi="Times New Roman" w:cs="Times New Roman"/>
          <w:sz w:val="24"/>
          <w:szCs w:val="24"/>
        </w:rPr>
        <w:tab/>
      </w:r>
      <w:r w:rsidR="00CA5D16">
        <w:rPr>
          <w:rFonts w:ascii="Times New Roman" w:hAnsi="Times New Roman" w:cs="Times New Roman"/>
          <w:sz w:val="24"/>
          <w:szCs w:val="24"/>
        </w:rPr>
        <w:tab/>
      </w:r>
      <w:r w:rsidR="00F22EB5">
        <w:rPr>
          <w:rFonts w:ascii="Times New Roman" w:hAnsi="Times New Roman" w:cs="Times New Roman"/>
          <w:sz w:val="24"/>
          <w:szCs w:val="24"/>
        </w:rPr>
        <w:t xml:space="preserve">E) </w:t>
      </w:r>
      <w:r>
        <w:rPr>
          <w:rFonts w:ascii="Times New Roman" w:hAnsi="Times New Roman" w:cs="Times New Roman"/>
          <w:sz w:val="24"/>
          <w:szCs w:val="24"/>
        </w:rPr>
        <w:t>Ground</w:t>
      </w:r>
      <w:r w:rsidR="002F14FB">
        <w:rPr>
          <w:rFonts w:ascii="Times New Roman" w:hAnsi="Times New Roman" w:cs="Times New Roman"/>
          <w:sz w:val="24"/>
          <w:szCs w:val="24"/>
        </w:rPr>
        <w:t>-</w:t>
      </w:r>
      <w:r>
        <w:rPr>
          <w:rFonts w:ascii="Times New Roman" w:hAnsi="Times New Roman" w:cs="Times New Roman"/>
          <w:sz w:val="24"/>
          <w:szCs w:val="24"/>
        </w:rPr>
        <w:t xml:space="preserve">glass </w:t>
      </w:r>
      <w:r w:rsidR="00CA5D16">
        <w:rPr>
          <w:rFonts w:ascii="Times New Roman" w:hAnsi="Times New Roman" w:cs="Times New Roman"/>
          <w:sz w:val="24"/>
          <w:szCs w:val="24"/>
        </w:rPr>
        <w:t xml:space="preserve">opacity </w:t>
      </w:r>
      <w:r w:rsidR="00CA5D16">
        <w:rPr>
          <w:rFonts w:ascii="Times New Roman" w:hAnsi="Times New Roman" w:cs="Times New Roman"/>
          <w:sz w:val="24"/>
          <w:szCs w:val="24"/>
        </w:rPr>
        <w:tab/>
      </w:r>
      <w:r w:rsidR="00CA5D16">
        <w:rPr>
          <w:rFonts w:ascii="Times New Roman" w:hAnsi="Times New Roman" w:cs="Times New Roman"/>
          <w:sz w:val="24"/>
          <w:szCs w:val="24"/>
        </w:rPr>
        <w:tab/>
      </w:r>
      <w:r w:rsidR="00CA5D16">
        <w:rPr>
          <w:rFonts w:ascii="Times New Roman" w:hAnsi="Times New Roman" w:cs="Times New Roman"/>
          <w:sz w:val="24"/>
          <w:szCs w:val="24"/>
        </w:rPr>
        <w:tab/>
        <w:t>F) Normal (complete resolution)</w:t>
      </w:r>
    </w:p>
    <w:p w14:paraId="798182FA" w14:textId="6E27C064" w:rsidR="00E5707C" w:rsidRDefault="00CA5D16" w:rsidP="00CA5D16">
      <w:pPr>
        <w:spacing w:after="0" w:line="360" w:lineRule="auto"/>
        <w:rPr>
          <w:rFonts w:ascii="Times New Roman" w:hAnsi="Times New Roman" w:cs="Times New Roman"/>
          <w:b/>
          <w:szCs w:val="20"/>
        </w:rPr>
      </w:pPr>
      <w:r>
        <w:rPr>
          <w:rFonts w:ascii="Times New Roman" w:hAnsi="Times New Roman" w:cs="Times New Roman"/>
          <w:b/>
          <w:noProof/>
          <w:sz w:val="24"/>
          <w:szCs w:val="24"/>
        </w:rPr>
        <w:drawing>
          <wp:inline distT="0" distB="0" distL="0" distR="0" wp14:anchorId="2B7797BF" wp14:editId="490D453A">
            <wp:extent cx="8208000" cy="4409737"/>
            <wp:effectExtent l="0" t="0" r="317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08000" cy="4409737"/>
                    </a:xfrm>
                    <a:prstGeom prst="rect">
                      <a:avLst/>
                    </a:prstGeom>
                  </pic:spPr>
                </pic:pic>
              </a:graphicData>
            </a:graphic>
          </wp:inline>
        </w:drawing>
      </w:r>
      <w:r w:rsidR="00E5707C">
        <w:rPr>
          <w:rFonts w:ascii="Times New Roman" w:hAnsi="Times New Roman" w:cs="Times New Roman"/>
          <w:b/>
          <w:szCs w:val="20"/>
        </w:rPr>
        <w:br w:type="page"/>
      </w:r>
    </w:p>
    <w:p w14:paraId="7FE605AF" w14:textId="788AB85D" w:rsidR="00BD002E" w:rsidRPr="008E182E" w:rsidRDefault="00BD002E" w:rsidP="00F22EB5">
      <w:pPr>
        <w:widowControl/>
        <w:wordWrap/>
        <w:autoSpaceDE/>
        <w:autoSpaceDN/>
        <w:spacing w:line="360" w:lineRule="auto"/>
        <w:rPr>
          <w:rFonts w:ascii="Times New Roman" w:hAnsi="Times New Roman" w:cs="Times New Roman"/>
          <w:b/>
          <w:szCs w:val="20"/>
        </w:rPr>
        <w:sectPr w:rsidR="00BD002E" w:rsidRPr="008E182E" w:rsidSect="00CA5D16">
          <w:pgSz w:w="16838" w:h="11906" w:orient="landscape"/>
          <w:pgMar w:top="1440" w:right="1440" w:bottom="1440" w:left="1440" w:header="851" w:footer="992" w:gutter="0"/>
          <w:cols w:space="425"/>
          <w:docGrid w:linePitch="360"/>
        </w:sectPr>
      </w:pPr>
    </w:p>
    <w:p w14:paraId="139FC319" w14:textId="417AB533" w:rsidR="00BD002E" w:rsidRPr="00563BE4" w:rsidRDefault="00DB06DD" w:rsidP="00F22EB5">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2C580F">
        <w:rPr>
          <w:rFonts w:ascii="Times New Roman" w:hAnsi="Times New Roman" w:cs="Times New Roman"/>
          <w:b/>
          <w:bCs/>
          <w:sz w:val="24"/>
          <w:szCs w:val="24"/>
        </w:rPr>
        <w:t>S</w:t>
      </w:r>
      <w:r>
        <w:rPr>
          <w:rFonts w:ascii="Times New Roman" w:hAnsi="Times New Roman" w:cs="Times New Roman"/>
          <w:b/>
          <w:bCs/>
          <w:sz w:val="24"/>
          <w:szCs w:val="24"/>
        </w:rPr>
        <w:t>1</w:t>
      </w:r>
      <w:r w:rsidR="00BD002E" w:rsidRPr="00563BE4">
        <w:rPr>
          <w:rFonts w:ascii="Times New Roman" w:hAnsi="Times New Roman" w:cs="Times New Roman"/>
          <w:b/>
          <w:bCs/>
          <w:sz w:val="24"/>
          <w:szCs w:val="24"/>
        </w:rPr>
        <w:t>. Summary of included studies</w:t>
      </w:r>
    </w:p>
    <w:tbl>
      <w:tblPr>
        <w:tblStyle w:val="a5"/>
        <w:tblW w:w="13956"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2551"/>
        <w:gridCol w:w="1757"/>
        <w:gridCol w:w="1361"/>
        <w:gridCol w:w="1247"/>
        <w:gridCol w:w="1871"/>
        <w:gridCol w:w="3355"/>
      </w:tblGrid>
      <w:tr w:rsidR="00BD002E" w:rsidRPr="003A24E5" w14:paraId="48109E8B" w14:textId="77777777" w:rsidTr="00E5707C">
        <w:trPr>
          <w:trHeight w:val="20"/>
        </w:trPr>
        <w:tc>
          <w:tcPr>
            <w:tcW w:w="1814" w:type="dxa"/>
            <w:tcBorders>
              <w:top w:val="single" w:sz="4" w:space="0" w:color="auto"/>
              <w:bottom w:val="single" w:sz="4" w:space="0" w:color="auto"/>
            </w:tcBorders>
            <w:noWrap/>
            <w:vAlign w:val="center"/>
            <w:hideMark/>
          </w:tcPr>
          <w:p w14:paraId="730C462F"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Author</w:t>
            </w:r>
          </w:p>
        </w:tc>
        <w:tc>
          <w:tcPr>
            <w:tcW w:w="2551" w:type="dxa"/>
            <w:tcBorders>
              <w:top w:val="single" w:sz="4" w:space="0" w:color="auto"/>
              <w:bottom w:val="single" w:sz="4" w:space="0" w:color="auto"/>
            </w:tcBorders>
            <w:vAlign w:val="center"/>
          </w:tcPr>
          <w:p w14:paraId="38ED6A71"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Title</w:t>
            </w:r>
          </w:p>
        </w:tc>
        <w:tc>
          <w:tcPr>
            <w:tcW w:w="1757" w:type="dxa"/>
            <w:tcBorders>
              <w:top w:val="single" w:sz="4" w:space="0" w:color="auto"/>
              <w:bottom w:val="single" w:sz="4" w:space="0" w:color="auto"/>
            </w:tcBorders>
            <w:vAlign w:val="center"/>
          </w:tcPr>
          <w:p w14:paraId="07194426"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Journal</w:t>
            </w:r>
          </w:p>
        </w:tc>
        <w:tc>
          <w:tcPr>
            <w:tcW w:w="1361" w:type="dxa"/>
            <w:tcBorders>
              <w:top w:val="single" w:sz="4" w:space="0" w:color="auto"/>
              <w:bottom w:val="single" w:sz="4" w:space="0" w:color="auto"/>
            </w:tcBorders>
            <w:noWrap/>
            <w:vAlign w:val="center"/>
            <w:hideMark/>
          </w:tcPr>
          <w:p w14:paraId="6F582A23"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Study design</w:t>
            </w:r>
          </w:p>
        </w:tc>
        <w:tc>
          <w:tcPr>
            <w:tcW w:w="1247" w:type="dxa"/>
            <w:tcBorders>
              <w:top w:val="single" w:sz="4" w:space="0" w:color="auto"/>
              <w:bottom w:val="single" w:sz="4" w:space="0" w:color="auto"/>
            </w:tcBorders>
            <w:noWrap/>
            <w:vAlign w:val="center"/>
            <w:hideMark/>
          </w:tcPr>
          <w:p w14:paraId="245573BB"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Study region</w:t>
            </w:r>
          </w:p>
        </w:tc>
        <w:tc>
          <w:tcPr>
            <w:tcW w:w="1871" w:type="dxa"/>
            <w:tcBorders>
              <w:top w:val="single" w:sz="4" w:space="0" w:color="auto"/>
              <w:bottom w:val="single" w:sz="4" w:space="0" w:color="auto"/>
            </w:tcBorders>
            <w:noWrap/>
            <w:vAlign w:val="center"/>
            <w:hideMark/>
          </w:tcPr>
          <w:p w14:paraId="7D459FE0"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Follow-up interval</w:t>
            </w:r>
          </w:p>
        </w:tc>
        <w:tc>
          <w:tcPr>
            <w:tcW w:w="0" w:type="auto"/>
            <w:tcBorders>
              <w:top w:val="single" w:sz="4" w:space="0" w:color="auto"/>
              <w:bottom w:val="single" w:sz="4" w:space="0" w:color="auto"/>
            </w:tcBorders>
            <w:vAlign w:val="center"/>
          </w:tcPr>
          <w:p w14:paraId="7313577F"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DOI</w:t>
            </w:r>
          </w:p>
        </w:tc>
      </w:tr>
      <w:tr w:rsidR="00BD002E" w:rsidRPr="003A24E5" w14:paraId="50682013" w14:textId="77777777" w:rsidTr="00E5707C">
        <w:trPr>
          <w:trHeight w:val="20"/>
        </w:trPr>
        <w:tc>
          <w:tcPr>
            <w:tcW w:w="1814" w:type="dxa"/>
            <w:tcBorders>
              <w:top w:val="single" w:sz="4" w:space="0" w:color="auto"/>
            </w:tcBorders>
            <w:noWrap/>
            <w:vAlign w:val="center"/>
          </w:tcPr>
          <w:p w14:paraId="409F1AA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Anastasio et al.</w:t>
            </w:r>
          </w:p>
        </w:tc>
        <w:tc>
          <w:tcPr>
            <w:tcW w:w="2551" w:type="dxa"/>
            <w:tcBorders>
              <w:top w:val="single" w:sz="4" w:space="0" w:color="auto"/>
            </w:tcBorders>
            <w:vAlign w:val="center"/>
          </w:tcPr>
          <w:p w14:paraId="32CD6E0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Medium-term impact of COVID-19 on pulmonary function, functional capacity and quality of life</w:t>
            </w:r>
          </w:p>
        </w:tc>
        <w:tc>
          <w:tcPr>
            <w:tcW w:w="1757" w:type="dxa"/>
            <w:tcBorders>
              <w:top w:val="single" w:sz="4" w:space="0" w:color="auto"/>
            </w:tcBorders>
            <w:vAlign w:val="center"/>
          </w:tcPr>
          <w:p w14:paraId="0E03C13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Eur Respir J</w:t>
            </w:r>
          </w:p>
        </w:tc>
        <w:tc>
          <w:tcPr>
            <w:tcW w:w="1361" w:type="dxa"/>
            <w:tcBorders>
              <w:top w:val="single" w:sz="4" w:space="0" w:color="auto"/>
            </w:tcBorders>
            <w:noWrap/>
            <w:vAlign w:val="center"/>
          </w:tcPr>
          <w:p w14:paraId="4118225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Not clearly mentioned</w:t>
            </w:r>
          </w:p>
        </w:tc>
        <w:tc>
          <w:tcPr>
            <w:tcW w:w="1247" w:type="dxa"/>
            <w:tcBorders>
              <w:top w:val="single" w:sz="4" w:space="0" w:color="auto"/>
            </w:tcBorders>
            <w:noWrap/>
            <w:vAlign w:val="center"/>
          </w:tcPr>
          <w:p w14:paraId="55E92DE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Italy</w:t>
            </w:r>
          </w:p>
        </w:tc>
        <w:tc>
          <w:tcPr>
            <w:tcW w:w="1871" w:type="dxa"/>
            <w:tcBorders>
              <w:top w:val="single" w:sz="4" w:space="0" w:color="auto"/>
            </w:tcBorders>
            <w:noWrap/>
            <w:vAlign w:val="center"/>
          </w:tcPr>
          <w:p w14:paraId="6D92E4C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135 (102</w:t>
            </w:r>
            <w:r w:rsidRPr="003A24E5">
              <w:rPr>
                <w:rFonts w:ascii="Times New Roman" w:eastAsia="맑은 고딕" w:hAnsi="Times New Roman" w:cs="Times New Roman"/>
                <w:szCs w:val="20"/>
              </w:rPr>
              <w:t>–</w:t>
            </w:r>
            <w:r w:rsidRPr="003A24E5">
              <w:rPr>
                <w:rFonts w:ascii="Times New Roman" w:hAnsi="Times New Roman" w:cs="Times New Roman"/>
                <w:szCs w:val="20"/>
              </w:rPr>
              <w:t>175) days</w:t>
            </w:r>
          </w:p>
        </w:tc>
        <w:tc>
          <w:tcPr>
            <w:tcW w:w="0" w:type="auto"/>
            <w:tcBorders>
              <w:top w:val="single" w:sz="4" w:space="0" w:color="auto"/>
            </w:tcBorders>
            <w:vAlign w:val="center"/>
          </w:tcPr>
          <w:p w14:paraId="375EF19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10.1183/13993003.04015-2020</w:t>
            </w:r>
          </w:p>
        </w:tc>
      </w:tr>
      <w:tr w:rsidR="00BD002E" w:rsidRPr="003A24E5" w14:paraId="461DCAD8" w14:textId="77777777" w:rsidTr="00E5707C">
        <w:trPr>
          <w:trHeight w:val="20"/>
        </w:trPr>
        <w:tc>
          <w:tcPr>
            <w:tcW w:w="1814" w:type="dxa"/>
            <w:noWrap/>
            <w:vAlign w:val="center"/>
          </w:tcPr>
          <w:p w14:paraId="45A3656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Arnold et al. </w:t>
            </w:r>
          </w:p>
        </w:tc>
        <w:tc>
          <w:tcPr>
            <w:tcW w:w="2551" w:type="dxa"/>
            <w:vAlign w:val="center"/>
          </w:tcPr>
          <w:p w14:paraId="2875D47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Patient outcomes after hospitalization with COVID-19 and implications for follow-up: results from a prospective UK cohort</w:t>
            </w:r>
          </w:p>
        </w:tc>
        <w:tc>
          <w:tcPr>
            <w:tcW w:w="1757" w:type="dxa"/>
            <w:vAlign w:val="center"/>
          </w:tcPr>
          <w:p w14:paraId="4B65C8D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Thorax</w:t>
            </w:r>
          </w:p>
        </w:tc>
        <w:tc>
          <w:tcPr>
            <w:tcW w:w="1361" w:type="dxa"/>
            <w:noWrap/>
            <w:vAlign w:val="center"/>
          </w:tcPr>
          <w:p w14:paraId="1AD64BC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2A26C8B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U.K.</w:t>
            </w:r>
          </w:p>
        </w:tc>
        <w:tc>
          <w:tcPr>
            <w:tcW w:w="1871" w:type="dxa"/>
            <w:noWrap/>
            <w:vAlign w:val="center"/>
          </w:tcPr>
          <w:p w14:paraId="2CEE2A9C"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90 (80</w:t>
            </w:r>
            <w:r w:rsidRPr="003A24E5">
              <w:rPr>
                <w:rFonts w:ascii="Times New Roman" w:eastAsia="맑은 고딕" w:hAnsi="Times New Roman" w:cs="Times New Roman"/>
                <w:szCs w:val="20"/>
              </w:rPr>
              <w:t>–97) d</w:t>
            </w:r>
            <w:r w:rsidRPr="003A24E5">
              <w:rPr>
                <w:rFonts w:ascii="Times New Roman" w:hAnsi="Times New Roman" w:cs="Times New Roman"/>
                <w:szCs w:val="20"/>
              </w:rPr>
              <w:t>ays</w:t>
            </w:r>
          </w:p>
        </w:tc>
        <w:tc>
          <w:tcPr>
            <w:tcW w:w="0" w:type="auto"/>
            <w:vAlign w:val="center"/>
          </w:tcPr>
          <w:p w14:paraId="47E5634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10.1136/thoraxjnl-2020-216086</w:t>
            </w:r>
          </w:p>
        </w:tc>
      </w:tr>
      <w:tr w:rsidR="00BD002E" w:rsidRPr="003A24E5" w14:paraId="0CA9D6B5" w14:textId="77777777" w:rsidTr="00E5707C">
        <w:trPr>
          <w:trHeight w:val="20"/>
        </w:trPr>
        <w:tc>
          <w:tcPr>
            <w:tcW w:w="1814" w:type="dxa"/>
            <w:noWrap/>
            <w:vAlign w:val="center"/>
          </w:tcPr>
          <w:p w14:paraId="7FFBA19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Bellan et al. </w:t>
            </w:r>
          </w:p>
        </w:tc>
        <w:tc>
          <w:tcPr>
            <w:tcW w:w="2551" w:type="dxa"/>
            <w:vAlign w:val="center"/>
          </w:tcPr>
          <w:p w14:paraId="73726DD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Respiratory and Psychophysical Sequelae Among Patients With COVID-19 Four Months After Hospital Discharge</w:t>
            </w:r>
          </w:p>
        </w:tc>
        <w:tc>
          <w:tcPr>
            <w:tcW w:w="1757" w:type="dxa"/>
            <w:vAlign w:val="center"/>
          </w:tcPr>
          <w:p w14:paraId="07EC276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JAMA Netw Open</w:t>
            </w:r>
          </w:p>
        </w:tc>
        <w:tc>
          <w:tcPr>
            <w:tcW w:w="1361" w:type="dxa"/>
            <w:noWrap/>
            <w:vAlign w:val="center"/>
          </w:tcPr>
          <w:p w14:paraId="09AF3AC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226DF6C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Italy</w:t>
            </w:r>
          </w:p>
        </w:tc>
        <w:tc>
          <w:tcPr>
            <w:tcW w:w="1871" w:type="dxa"/>
            <w:noWrap/>
            <w:vAlign w:val="center"/>
          </w:tcPr>
          <w:p w14:paraId="6F9FE82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3 to 4 months</w:t>
            </w:r>
          </w:p>
        </w:tc>
        <w:tc>
          <w:tcPr>
            <w:tcW w:w="0" w:type="auto"/>
            <w:vAlign w:val="center"/>
          </w:tcPr>
          <w:p w14:paraId="649A408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10.1001/jamanetworkopen.2020.36142</w:t>
            </w:r>
          </w:p>
        </w:tc>
      </w:tr>
      <w:tr w:rsidR="00BD002E" w:rsidRPr="003A24E5" w14:paraId="3A434167" w14:textId="77777777" w:rsidTr="00E5707C">
        <w:trPr>
          <w:trHeight w:val="20"/>
        </w:trPr>
        <w:tc>
          <w:tcPr>
            <w:tcW w:w="1814" w:type="dxa"/>
            <w:noWrap/>
            <w:vAlign w:val="center"/>
          </w:tcPr>
          <w:p w14:paraId="6A9E8D8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Daher et al. </w:t>
            </w:r>
          </w:p>
        </w:tc>
        <w:tc>
          <w:tcPr>
            <w:tcW w:w="2551" w:type="dxa"/>
            <w:vAlign w:val="center"/>
          </w:tcPr>
          <w:p w14:paraId="5FA97C7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Follow up of patients with severe coronavirus disease 2019 (COVID-19): Pulmonary and extrapulmonary disease sequelae</w:t>
            </w:r>
          </w:p>
        </w:tc>
        <w:tc>
          <w:tcPr>
            <w:tcW w:w="1757" w:type="dxa"/>
            <w:vAlign w:val="center"/>
          </w:tcPr>
          <w:p w14:paraId="0417DE8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Respir Med</w:t>
            </w:r>
          </w:p>
        </w:tc>
        <w:tc>
          <w:tcPr>
            <w:tcW w:w="1361" w:type="dxa"/>
            <w:noWrap/>
            <w:vAlign w:val="center"/>
          </w:tcPr>
          <w:p w14:paraId="22C1CFD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004E63C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Germany</w:t>
            </w:r>
          </w:p>
        </w:tc>
        <w:tc>
          <w:tcPr>
            <w:tcW w:w="1871" w:type="dxa"/>
            <w:noWrap/>
            <w:vAlign w:val="center"/>
          </w:tcPr>
          <w:p w14:paraId="5A56EE3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56 (48</w:t>
            </w:r>
            <w:r w:rsidRPr="003A24E5">
              <w:rPr>
                <w:rFonts w:ascii="Times New Roman" w:eastAsia="맑은 고딕" w:hAnsi="Times New Roman" w:cs="Times New Roman"/>
                <w:szCs w:val="20"/>
              </w:rPr>
              <w:t>–71) days</w:t>
            </w:r>
          </w:p>
        </w:tc>
        <w:tc>
          <w:tcPr>
            <w:tcW w:w="0" w:type="auto"/>
            <w:vAlign w:val="center"/>
          </w:tcPr>
          <w:p w14:paraId="53FD5F7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10.1016/j.rmed.2020.106197</w:t>
            </w:r>
          </w:p>
        </w:tc>
      </w:tr>
      <w:tr w:rsidR="00BD002E" w:rsidRPr="003A24E5" w14:paraId="776EED36" w14:textId="77777777" w:rsidTr="00E5707C">
        <w:trPr>
          <w:trHeight w:val="20"/>
        </w:trPr>
        <w:tc>
          <w:tcPr>
            <w:tcW w:w="1814" w:type="dxa"/>
            <w:noWrap/>
            <w:vAlign w:val="center"/>
          </w:tcPr>
          <w:p w14:paraId="4130CD9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D'Cruz et al. </w:t>
            </w:r>
          </w:p>
        </w:tc>
        <w:tc>
          <w:tcPr>
            <w:tcW w:w="2551" w:type="dxa"/>
            <w:vAlign w:val="center"/>
          </w:tcPr>
          <w:p w14:paraId="084C8E3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Chest radiography is a poor </w:t>
            </w:r>
            <w:r w:rsidRPr="003A24E5">
              <w:rPr>
                <w:rFonts w:ascii="Times New Roman" w:hAnsi="Times New Roman" w:cs="Times New Roman"/>
                <w:szCs w:val="20"/>
              </w:rPr>
              <w:lastRenderedPageBreak/>
              <w:t>predictor of respiratory symptoms and functional impairment in survivors of severe COVID-19 pneumonia</w:t>
            </w:r>
          </w:p>
        </w:tc>
        <w:tc>
          <w:tcPr>
            <w:tcW w:w="1757" w:type="dxa"/>
            <w:vAlign w:val="center"/>
          </w:tcPr>
          <w:p w14:paraId="7BF7FAA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ERJ Open Res</w:t>
            </w:r>
          </w:p>
        </w:tc>
        <w:tc>
          <w:tcPr>
            <w:tcW w:w="1361" w:type="dxa"/>
            <w:noWrap/>
            <w:vAlign w:val="center"/>
          </w:tcPr>
          <w:p w14:paraId="7358382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Prospective </w:t>
            </w:r>
            <w:r w:rsidRPr="003A24E5">
              <w:rPr>
                <w:rFonts w:ascii="Times New Roman" w:hAnsi="Times New Roman" w:cs="Times New Roman"/>
                <w:szCs w:val="20"/>
              </w:rPr>
              <w:lastRenderedPageBreak/>
              <w:t>cohort</w:t>
            </w:r>
          </w:p>
        </w:tc>
        <w:tc>
          <w:tcPr>
            <w:tcW w:w="1247" w:type="dxa"/>
            <w:noWrap/>
            <w:vAlign w:val="center"/>
          </w:tcPr>
          <w:p w14:paraId="1A70104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U.K.</w:t>
            </w:r>
          </w:p>
        </w:tc>
        <w:tc>
          <w:tcPr>
            <w:tcW w:w="1871" w:type="dxa"/>
            <w:noWrap/>
            <w:vAlign w:val="center"/>
          </w:tcPr>
          <w:p w14:paraId="582C7BD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76 (71</w:t>
            </w:r>
            <w:r w:rsidRPr="003A24E5">
              <w:rPr>
                <w:rFonts w:ascii="Times New Roman" w:eastAsia="맑은 고딕" w:hAnsi="Times New Roman" w:cs="Times New Roman"/>
                <w:szCs w:val="20"/>
              </w:rPr>
              <w:t xml:space="preserve">–83) </w:t>
            </w:r>
            <w:r w:rsidRPr="003A24E5">
              <w:rPr>
                <w:rFonts w:ascii="Times New Roman" w:hAnsi="Times New Roman" w:cs="Times New Roman"/>
                <w:szCs w:val="20"/>
              </w:rPr>
              <w:t>days</w:t>
            </w:r>
          </w:p>
        </w:tc>
        <w:tc>
          <w:tcPr>
            <w:tcW w:w="0" w:type="auto"/>
            <w:vAlign w:val="center"/>
          </w:tcPr>
          <w:p w14:paraId="3D977BA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10.1183/23120541.00655-2020</w:t>
            </w:r>
          </w:p>
        </w:tc>
      </w:tr>
      <w:tr w:rsidR="00BD002E" w:rsidRPr="003A24E5" w14:paraId="74E1A9FD" w14:textId="77777777" w:rsidTr="00E5707C">
        <w:trPr>
          <w:trHeight w:val="20"/>
        </w:trPr>
        <w:tc>
          <w:tcPr>
            <w:tcW w:w="1814" w:type="dxa"/>
            <w:noWrap/>
            <w:vAlign w:val="center"/>
          </w:tcPr>
          <w:p w14:paraId="758F1804"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de Graaf et al. </w:t>
            </w:r>
          </w:p>
        </w:tc>
        <w:tc>
          <w:tcPr>
            <w:tcW w:w="2551" w:type="dxa"/>
            <w:vAlign w:val="center"/>
          </w:tcPr>
          <w:p w14:paraId="0D9944C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Short-term outpatient follow-up of COVID-19 patients: A multidisciplinary approach</w:t>
            </w:r>
          </w:p>
        </w:tc>
        <w:tc>
          <w:tcPr>
            <w:tcW w:w="1757" w:type="dxa"/>
            <w:vAlign w:val="center"/>
          </w:tcPr>
          <w:p w14:paraId="4BF0020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EClinicalMedicine</w:t>
            </w:r>
          </w:p>
        </w:tc>
        <w:tc>
          <w:tcPr>
            <w:tcW w:w="1361" w:type="dxa"/>
            <w:noWrap/>
            <w:vAlign w:val="center"/>
          </w:tcPr>
          <w:p w14:paraId="518A6C7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Not clearly mentioned</w:t>
            </w:r>
          </w:p>
        </w:tc>
        <w:tc>
          <w:tcPr>
            <w:tcW w:w="1247" w:type="dxa"/>
            <w:noWrap/>
            <w:vAlign w:val="center"/>
          </w:tcPr>
          <w:p w14:paraId="466F9AE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Netherland</w:t>
            </w:r>
          </w:p>
        </w:tc>
        <w:tc>
          <w:tcPr>
            <w:tcW w:w="1871" w:type="dxa"/>
            <w:noWrap/>
            <w:vAlign w:val="center"/>
          </w:tcPr>
          <w:p w14:paraId="42962D9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6 weeks</w:t>
            </w:r>
          </w:p>
        </w:tc>
        <w:tc>
          <w:tcPr>
            <w:tcW w:w="0" w:type="auto"/>
            <w:vAlign w:val="center"/>
          </w:tcPr>
          <w:p w14:paraId="165FD10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10.1016/j.eclinm.2021.100731</w:t>
            </w:r>
          </w:p>
        </w:tc>
      </w:tr>
      <w:tr w:rsidR="00BD002E" w:rsidRPr="003A24E5" w14:paraId="656FB4D5" w14:textId="77777777" w:rsidTr="00E5707C">
        <w:trPr>
          <w:trHeight w:val="20"/>
        </w:trPr>
        <w:tc>
          <w:tcPr>
            <w:tcW w:w="1814" w:type="dxa"/>
            <w:noWrap/>
            <w:vAlign w:val="center"/>
          </w:tcPr>
          <w:p w14:paraId="10434992"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Guler et al. </w:t>
            </w:r>
          </w:p>
        </w:tc>
        <w:tc>
          <w:tcPr>
            <w:tcW w:w="2551" w:type="dxa"/>
            <w:vAlign w:val="center"/>
          </w:tcPr>
          <w:p w14:paraId="006A26D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Pulmonary function and radiological features four months after COVID-19: first results from the national prospective observational Swiss COVID-19 lung study</w:t>
            </w:r>
          </w:p>
        </w:tc>
        <w:tc>
          <w:tcPr>
            <w:tcW w:w="1757" w:type="dxa"/>
            <w:vAlign w:val="center"/>
          </w:tcPr>
          <w:p w14:paraId="0361579C"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Eur Respir J</w:t>
            </w:r>
          </w:p>
        </w:tc>
        <w:tc>
          <w:tcPr>
            <w:tcW w:w="1361" w:type="dxa"/>
            <w:noWrap/>
            <w:vAlign w:val="center"/>
          </w:tcPr>
          <w:p w14:paraId="486AAA0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3F0AAAC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Swiss</w:t>
            </w:r>
          </w:p>
        </w:tc>
        <w:tc>
          <w:tcPr>
            <w:tcW w:w="1871" w:type="dxa"/>
            <w:noWrap/>
            <w:vAlign w:val="center"/>
          </w:tcPr>
          <w:p w14:paraId="17460D5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128 (108</w:t>
            </w:r>
            <w:r w:rsidRPr="003A24E5">
              <w:rPr>
                <w:rFonts w:ascii="Times New Roman" w:eastAsia="맑은 고딕" w:hAnsi="Times New Roman" w:cs="Times New Roman"/>
                <w:szCs w:val="20"/>
              </w:rPr>
              <w:t>–144) days</w:t>
            </w:r>
          </w:p>
        </w:tc>
        <w:tc>
          <w:tcPr>
            <w:tcW w:w="0" w:type="auto"/>
            <w:vAlign w:val="center"/>
          </w:tcPr>
          <w:p w14:paraId="757A071C"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10.1183/13993003.03690-2020</w:t>
            </w:r>
          </w:p>
        </w:tc>
      </w:tr>
      <w:tr w:rsidR="00BD002E" w:rsidRPr="003A24E5" w14:paraId="692B35C5" w14:textId="77777777" w:rsidTr="00E5707C">
        <w:trPr>
          <w:trHeight w:val="20"/>
        </w:trPr>
        <w:tc>
          <w:tcPr>
            <w:tcW w:w="1814" w:type="dxa"/>
            <w:noWrap/>
            <w:vAlign w:val="center"/>
          </w:tcPr>
          <w:p w14:paraId="09792C5E"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Han et al. </w:t>
            </w:r>
          </w:p>
        </w:tc>
        <w:tc>
          <w:tcPr>
            <w:tcW w:w="2551" w:type="dxa"/>
            <w:vAlign w:val="center"/>
          </w:tcPr>
          <w:p w14:paraId="08A7D59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Six-month Follow-up Chest CT Findings after Severe COVID-19 Pneumonia</w:t>
            </w:r>
          </w:p>
        </w:tc>
        <w:tc>
          <w:tcPr>
            <w:tcW w:w="1757" w:type="dxa"/>
            <w:vAlign w:val="center"/>
          </w:tcPr>
          <w:p w14:paraId="29B9A14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Radiology</w:t>
            </w:r>
          </w:p>
        </w:tc>
        <w:tc>
          <w:tcPr>
            <w:tcW w:w="1361" w:type="dxa"/>
            <w:noWrap/>
            <w:vAlign w:val="center"/>
          </w:tcPr>
          <w:p w14:paraId="516BF23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3537D2E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39A337E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175 ± 20 days</w:t>
            </w:r>
          </w:p>
        </w:tc>
        <w:tc>
          <w:tcPr>
            <w:tcW w:w="0" w:type="auto"/>
            <w:vAlign w:val="center"/>
          </w:tcPr>
          <w:p w14:paraId="45A5153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10.1148/radiol.2021203153</w:t>
            </w:r>
          </w:p>
        </w:tc>
      </w:tr>
      <w:tr w:rsidR="00BD002E" w:rsidRPr="003A24E5" w14:paraId="21159DFC" w14:textId="77777777" w:rsidTr="00E5707C">
        <w:trPr>
          <w:trHeight w:val="20"/>
        </w:trPr>
        <w:tc>
          <w:tcPr>
            <w:tcW w:w="1814" w:type="dxa"/>
            <w:noWrap/>
            <w:vAlign w:val="center"/>
          </w:tcPr>
          <w:p w14:paraId="39BAA427"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Huang C et al. </w:t>
            </w:r>
          </w:p>
        </w:tc>
        <w:tc>
          <w:tcPr>
            <w:tcW w:w="2551" w:type="dxa"/>
            <w:vAlign w:val="center"/>
          </w:tcPr>
          <w:p w14:paraId="483840F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6-month consequences of COVID-19 in patients discharged from hospital: a cohort study</w:t>
            </w:r>
          </w:p>
        </w:tc>
        <w:tc>
          <w:tcPr>
            <w:tcW w:w="1757" w:type="dxa"/>
            <w:vAlign w:val="center"/>
          </w:tcPr>
          <w:p w14:paraId="3121F51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Lancet</w:t>
            </w:r>
          </w:p>
        </w:tc>
        <w:tc>
          <w:tcPr>
            <w:tcW w:w="1361" w:type="dxa"/>
            <w:noWrap/>
            <w:vAlign w:val="center"/>
          </w:tcPr>
          <w:p w14:paraId="7EC347C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24A52C0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6F97E6A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186 (175</w:t>
            </w:r>
            <w:r w:rsidRPr="003A24E5">
              <w:rPr>
                <w:rFonts w:ascii="Times New Roman" w:eastAsia="맑은 고딕" w:hAnsi="Times New Roman" w:cs="Times New Roman"/>
                <w:szCs w:val="20"/>
              </w:rPr>
              <w:t>–199) days</w:t>
            </w:r>
          </w:p>
        </w:tc>
        <w:tc>
          <w:tcPr>
            <w:tcW w:w="0" w:type="auto"/>
            <w:vAlign w:val="center"/>
          </w:tcPr>
          <w:p w14:paraId="317999F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10.1016/S0140-6736(20)32656-8</w:t>
            </w:r>
          </w:p>
        </w:tc>
      </w:tr>
      <w:tr w:rsidR="00BD002E" w:rsidRPr="003A24E5" w14:paraId="4967025E" w14:textId="77777777" w:rsidTr="00E5707C">
        <w:trPr>
          <w:trHeight w:val="20"/>
        </w:trPr>
        <w:tc>
          <w:tcPr>
            <w:tcW w:w="1814" w:type="dxa"/>
            <w:noWrap/>
            <w:vAlign w:val="center"/>
          </w:tcPr>
          <w:p w14:paraId="555A97EC"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Huang Y et al. </w:t>
            </w:r>
          </w:p>
        </w:tc>
        <w:tc>
          <w:tcPr>
            <w:tcW w:w="2551" w:type="dxa"/>
            <w:vAlign w:val="center"/>
          </w:tcPr>
          <w:p w14:paraId="0F832E9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Impact of coronavirus </w:t>
            </w:r>
            <w:r w:rsidRPr="003A24E5">
              <w:rPr>
                <w:rFonts w:ascii="Times New Roman" w:hAnsi="Times New Roman" w:cs="Times New Roman"/>
                <w:szCs w:val="20"/>
              </w:rPr>
              <w:lastRenderedPageBreak/>
              <w:t>disease 2019 on pulmonary function in early convalescence phase</w:t>
            </w:r>
          </w:p>
        </w:tc>
        <w:tc>
          <w:tcPr>
            <w:tcW w:w="1757" w:type="dxa"/>
            <w:vAlign w:val="center"/>
          </w:tcPr>
          <w:p w14:paraId="369F72B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Respir Res</w:t>
            </w:r>
          </w:p>
        </w:tc>
        <w:tc>
          <w:tcPr>
            <w:tcW w:w="1361" w:type="dxa"/>
            <w:noWrap/>
            <w:vAlign w:val="center"/>
          </w:tcPr>
          <w:p w14:paraId="1E005C6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Retrospective </w:t>
            </w:r>
            <w:r w:rsidRPr="003A24E5">
              <w:rPr>
                <w:rFonts w:ascii="Times New Roman" w:hAnsi="Times New Roman" w:cs="Times New Roman"/>
                <w:szCs w:val="20"/>
              </w:rPr>
              <w:lastRenderedPageBreak/>
              <w:t>cohort</w:t>
            </w:r>
          </w:p>
        </w:tc>
        <w:tc>
          <w:tcPr>
            <w:tcW w:w="1247" w:type="dxa"/>
            <w:noWrap/>
            <w:vAlign w:val="center"/>
          </w:tcPr>
          <w:p w14:paraId="0EE59C4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China</w:t>
            </w:r>
          </w:p>
        </w:tc>
        <w:tc>
          <w:tcPr>
            <w:tcW w:w="1871" w:type="dxa"/>
            <w:noWrap/>
            <w:vAlign w:val="center"/>
          </w:tcPr>
          <w:p w14:paraId="19AA41B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30 days</w:t>
            </w:r>
          </w:p>
        </w:tc>
        <w:tc>
          <w:tcPr>
            <w:tcW w:w="0" w:type="auto"/>
            <w:vAlign w:val="center"/>
          </w:tcPr>
          <w:p w14:paraId="33A7DA1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10.1186/s12931-020-01429-6</w:t>
            </w:r>
          </w:p>
        </w:tc>
      </w:tr>
      <w:tr w:rsidR="00BD002E" w:rsidRPr="003A24E5" w14:paraId="62CDD52F" w14:textId="77777777" w:rsidTr="00E5707C">
        <w:trPr>
          <w:trHeight w:val="20"/>
        </w:trPr>
        <w:tc>
          <w:tcPr>
            <w:tcW w:w="1814" w:type="dxa"/>
            <w:noWrap/>
            <w:vAlign w:val="center"/>
          </w:tcPr>
          <w:p w14:paraId="0FD2B1B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Lerum et al. </w:t>
            </w:r>
          </w:p>
        </w:tc>
        <w:tc>
          <w:tcPr>
            <w:tcW w:w="2551" w:type="dxa"/>
            <w:vAlign w:val="center"/>
          </w:tcPr>
          <w:p w14:paraId="20F8334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Dyspnea, lung function and CT findings three months after hospital admission for COVID-19</w:t>
            </w:r>
          </w:p>
        </w:tc>
        <w:tc>
          <w:tcPr>
            <w:tcW w:w="1757" w:type="dxa"/>
            <w:vAlign w:val="center"/>
          </w:tcPr>
          <w:p w14:paraId="6CD3684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Eur Respir J</w:t>
            </w:r>
          </w:p>
        </w:tc>
        <w:tc>
          <w:tcPr>
            <w:tcW w:w="1361" w:type="dxa"/>
            <w:noWrap/>
            <w:vAlign w:val="center"/>
          </w:tcPr>
          <w:p w14:paraId="05537A6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6E8C885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Norway</w:t>
            </w:r>
          </w:p>
        </w:tc>
        <w:tc>
          <w:tcPr>
            <w:tcW w:w="1871" w:type="dxa"/>
            <w:noWrap/>
            <w:vAlign w:val="center"/>
          </w:tcPr>
          <w:p w14:paraId="2056EB7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83 (73</w:t>
            </w:r>
            <w:r w:rsidRPr="003A24E5">
              <w:rPr>
                <w:rFonts w:ascii="Times New Roman" w:eastAsia="맑은 고딕" w:hAnsi="Times New Roman" w:cs="Times New Roman"/>
                <w:szCs w:val="20"/>
              </w:rPr>
              <w:t>–90) days</w:t>
            </w:r>
          </w:p>
        </w:tc>
        <w:tc>
          <w:tcPr>
            <w:tcW w:w="0" w:type="auto"/>
            <w:vAlign w:val="center"/>
          </w:tcPr>
          <w:p w14:paraId="4193EBE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10.1183/13993003.03448-2020</w:t>
            </w:r>
          </w:p>
        </w:tc>
      </w:tr>
      <w:tr w:rsidR="00BD002E" w:rsidRPr="003A24E5" w14:paraId="54CC1491" w14:textId="77777777" w:rsidTr="00E5707C">
        <w:trPr>
          <w:trHeight w:val="20"/>
        </w:trPr>
        <w:tc>
          <w:tcPr>
            <w:tcW w:w="1814" w:type="dxa"/>
            <w:noWrap/>
            <w:vAlign w:val="center"/>
          </w:tcPr>
          <w:p w14:paraId="0D7844DE"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Liang et al. </w:t>
            </w:r>
          </w:p>
        </w:tc>
        <w:tc>
          <w:tcPr>
            <w:tcW w:w="2551" w:type="dxa"/>
            <w:vAlign w:val="center"/>
          </w:tcPr>
          <w:p w14:paraId="59F6B57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Three-month Follow-up Study of Survivors of Coronavirus Disease 2019 after Discharge</w:t>
            </w:r>
          </w:p>
        </w:tc>
        <w:tc>
          <w:tcPr>
            <w:tcW w:w="1757" w:type="dxa"/>
            <w:vAlign w:val="center"/>
          </w:tcPr>
          <w:p w14:paraId="689D692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J Korean Med Sci</w:t>
            </w:r>
          </w:p>
        </w:tc>
        <w:tc>
          <w:tcPr>
            <w:tcW w:w="1361" w:type="dxa"/>
            <w:noWrap/>
            <w:vAlign w:val="center"/>
          </w:tcPr>
          <w:p w14:paraId="79D7065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491AC19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2280DE0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3 months</w:t>
            </w:r>
          </w:p>
        </w:tc>
        <w:tc>
          <w:tcPr>
            <w:tcW w:w="0" w:type="auto"/>
            <w:vAlign w:val="center"/>
          </w:tcPr>
          <w:p w14:paraId="44D259C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10.3346/jkms.2020.35.e418</w:t>
            </w:r>
          </w:p>
        </w:tc>
      </w:tr>
      <w:tr w:rsidR="00BD002E" w:rsidRPr="003A24E5" w14:paraId="66C2FBA4" w14:textId="77777777" w:rsidTr="00E5707C">
        <w:trPr>
          <w:trHeight w:val="20"/>
        </w:trPr>
        <w:tc>
          <w:tcPr>
            <w:tcW w:w="1814" w:type="dxa"/>
            <w:noWrap/>
            <w:vAlign w:val="center"/>
          </w:tcPr>
          <w:p w14:paraId="343DEB9F"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Liu et al. </w:t>
            </w:r>
          </w:p>
        </w:tc>
        <w:tc>
          <w:tcPr>
            <w:tcW w:w="2551" w:type="dxa"/>
            <w:vAlign w:val="center"/>
          </w:tcPr>
          <w:p w14:paraId="468510A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Chest Computed Tomography and Clinical Follow-Up of Discharged Patients with COVID-19 in Wenzhou City, Zhejiang, China</w:t>
            </w:r>
          </w:p>
        </w:tc>
        <w:tc>
          <w:tcPr>
            <w:tcW w:w="1757" w:type="dxa"/>
            <w:vAlign w:val="center"/>
          </w:tcPr>
          <w:p w14:paraId="79DC7AA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Ann Am Thorac Soc</w:t>
            </w:r>
          </w:p>
        </w:tc>
        <w:tc>
          <w:tcPr>
            <w:tcW w:w="1361" w:type="dxa"/>
            <w:noWrap/>
            <w:vAlign w:val="center"/>
          </w:tcPr>
          <w:p w14:paraId="1A5979E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Not clearly mentioned</w:t>
            </w:r>
          </w:p>
        </w:tc>
        <w:tc>
          <w:tcPr>
            <w:tcW w:w="1247" w:type="dxa"/>
            <w:noWrap/>
            <w:vAlign w:val="center"/>
          </w:tcPr>
          <w:p w14:paraId="75A5B5A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7135DC3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4 weeks</w:t>
            </w:r>
          </w:p>
        </w:tc>
        <w:tc>
          <w:tcPr>
            <w:tcW w:w="0" w:type="auto"/>
            <w:vAlign w:val="center"/>
          </w:tcPr>
          <w:p w14:paraId="3A4E3E9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10.1513/AnnalsATS.202004-324OC</w:t>
            </w:r>
          </w:p>
        </w:tc>
      </w:tr>
      <w:tr w:rsidR="00BD002E" w:rsidRPr="003A24E5" w14:paraId="13954602" w14:textId="77777777" w:rsidTr="00E5707C">
        <w:trPr>
          <w:trHeight w:val="20"/>
        </w:trPr>
        <w:tc>
          <w:tcPr>
            <w:tcW w:w="1814" w:type="dxa"/>
            <w:noWrap/>
            <w:vAlign w:val="center"/>
          </w:tcPr>
          <w:p w14:paraId="613CC0E8"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Marvisi et al. </w:t>
            </w:r>
          </w:p>
        </w:tc>
        <w:tc>
          <w:tcPr>
            <w:tcW w:w="2551" w:type="dxa"/>
            <w:vAlign w:val="center"/>
          </w:tcPr>
          <w:p w14:paraId="72C1678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First report on clinical and radiological features of COVID-19 pneumonitis in a Caucasian population: Factors predicting fibrotic evolution</w:t>
            </w:r>
          </w:p>
        </w:tc>
        <w:tc>
          <w:tcPr>
            <w:tcW w:w="1757" w:type="dxa"/>
            <w:vAlign w:val="center"/>
          </w:tcPr>
          <w:p w14:paraId="00AECCA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Int J Infect Dis</w:t>
            </w:r>
          </w:p>
        </w:tc>
        <w:tc>
          <w:tcPr>
            <w:tcW w:w="1361" w:type="dxa"/>
            <w:noWrap/>
            <w:vAlign w:val="center"/>
          </w:tcPr>
          <w:p w14:paraId="4CED747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Retrospective cohort</w:t>
            </w:r>
          </w:p>
        </w:tc>
        <w:tc>
          <w:tcPr>
            <w:tcW w:w="1247" w:type="dxa"/>
            <w:noWrap/>
            <w:vAlign w:val="center"/>
          </w:tcPr>
          <w:p w14:paraId="4C98C3C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Italy</w:t>
            </w:r>
          </w:p>
        </w:tc>
        <w:tc>
          <w:tcPr>
            <w:tcW w:w="1871" w:type="dxa"/>
            <w:noWrap/>
            <w:vAlign w:val="center"/>
          </w:tcPr>
          <w:p w14:paraId="1B9AAAF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70 ± 7 days</w:t>
            </w:r>
          </w:p>
        </w:tc>
        <w:tc>
          <w:tcPr>
            <w:tcW w:w="0" w:type="auto"/>
            <w:vAlign w:val="center"/>
          </w:tcPr>
          <w:p w14:paraId="179D962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10.1016/j.ijid.2020.08.054</w:t>
            </w:r>
          </w:p>
        </w:tc>
      </w:tr>
      <w:tr w:rsidR="00BD002E" w:rsidRPr="003A24E5" w14:paraId="316B4B10" w14:textId="77777777" w:rsidTr="00E5707C">
        <w:trPr>
          <w:trHeight w:val="20"/>
        </w:trPr>
        <w:tc>
          <w:tcPr>
            <w:tcW w:w="1814" w:type="dxa"/>
            <w:noWrap/>
            <w:vAlign w:val="center"/>
          </w:tcPr>
          <w:p w14:paraId="60AB8248"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lastRenderedPageBreak/>
              <w:t xml:space="preserve">Méndez et al. </w:t>
            </w:r>
          </w:p>
        </w:tc>
        <w:tc>
          <w:tcPr>
            <w:tcW w:w="2551" w:type="dxa"/>
            <w:vAlign w:val="center"/>
          </w:tcPr>
          <w:p w14:paraId="2EB1EFE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Reduced Diffusion Capacity in COVID-19 Survivors</w:t>
            </w:r>
          </w:p>
        </w:tc>
        <w:tc>
          <w:tcPr>
            <w:tcW w:w="1757" w:type="dxa"/>
            <w:vAlign w:val="center"/>
          </w:tcPr>
          <w:p w14:paraId="7B4D526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Ann Am Thorac Soc</w:t>
            </w:r>
          </w:p>
        </w:tc>
        <w:tc>
          <w:tcPr>
            <w:tcW w:w="1361" w:type="dxa"/>
            <w:noWrap/>
            <w:vAlign w:val="center"/>
          </w:tcPr>
          <w:p w14:paraId="605EF8F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Retrospective cohort</w:t>
            </w:r>
          </w:p>
        </w:tc>
        <w:tc>
          <w:tcPr>
            <w:tcW w:w="1247" w:type="dxa"/>
            <w:noWrap/>
            <w:vAlign w:val="center"/>
          </w:tcPr>
          <w:p w14:paraId="3681AA0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Spain</w:t>
            </w:r>
          </w:p>
        </w:tc>
        <w:tc>
          <w:tcPr>
            <w:tcW w:w="1871" w:type="dxa"/>
            <w:noWrap/>
            <w:vAlign w:val="center"/>
          </w:tcPr>
          <w:p w14:paraId="2765361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87 (62</w:t>
            </w:r>
            <w:r w:rsidRPr="003A24E5">
              <w:rPr>
                <w:rFonts w:ascii="Times New Roman" w:eastAsia="맑은 고딕" w:hAnsi="Times New Roman" w:cs="Times New Roman"/>
                <w:szCs w:val="20"/>
              </w:rPr>
              <w:t>–109) days</w:t>
            </w:r>
          </w:p>
        </w:tc>
        <w:tc>
          <w:tcPr>
            <w:tcW w:w="0" w:type="auto"/>
            <w:vAlign w:val="center"/>
          </w:tcPr>
          <w:p w14:paraId="70D834B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10.1513/AnnalsATS.202011-1452RL</w:t>
            </w:r>
          </w:p>
        </w:tc>
      </w:tr>
      <w:tr w:rsidR="00BD002E" w:rsidRPr="003A24E5" w14:paraId="3A085D76" w14:textId="77777777" w:rsidTr="00E5707C">
        <w:trPr>
          <w:trHeight w:val="20"/>
        </w:trPr>
        <w:tc>
          <w:tcPr>
            <w:tcW w:w="1814" w:type="dxa"/>
            <w:noWrap/>
            <w:vAlign w:val="center"/>
          </w:tcPr>
          <w:p w14:paraId="7C2B84F1"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Moreno-Pérez et al. </w:t>
            </w:r>
          </w:p>
        </w:tc>
        <w:tc>
          <w:tcPr>
            <w:tcW w:w="2551" w:type="dxa"/>
            <w:vAlign w:val="center"/>
          </w:tcPr>
          <w:p w14:paraId="2C98137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Post-acute COVID-19 syndrome. Incidence and risk factors: A Mediterranean cohort study</w:t>
            </w:r>
          </w:p>
        </w:tc>
        <w:tc>
          <w:tcPr>
            <w:tcW w:w="1757" w:type="dxa"/>
            <w:vAlign w:val="center"/>
          </w:tcPr>
          <w:p w14:paraId="613007F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J Infect</w:t>
            </w:r>
          </w:p>
        </w:tc>
        <w:tc>
          <w:tcPr>
            <w:tcW w:w="1361" w:type="dxa"/>
            <w:noWrap/>
            <w:vAlign w:val="center"/>
          </w:tcPr>
          <w:p w14:paraId="0AAE3DA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597F64D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Spain</w:t>
            </w:r>
          </w:p>
        </w:tc>
        <w:tc>
          <w:tcPr>
            <w:tcW w:w="1871" w:type="dxa"/>
            <w:noWrap/>
            <w:vAlign w:val="center"/>
          </w:tcPr>
          <w:p w14:paraId="074B6E29"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77 (72</w:t>
            </w:r>
            <w:r w:rsidRPr="003A24E5">
              <w:rPr>
                <w:rFonts w:ascii="Times New Roman" w:eastAsia="맑은 고딕" w:hAnsi="Times New Roman" w:cs="Times New Roman"/>
                <w:szCs w:val="20"/>
              </w:rPr>
              <w:t>–85) days</w:t>
            </w:r>
          </w:p>
        </w:tc>
        <w:tc>
          <w:tcPr>
            <w:tcW w:w="0" w:type="auto"/>
            <w:vAlign w:val="center"/>
          </w:tcPr>
          <w:p w14:paraId="73CDD24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10.1016/j.jinf.2021.01.004</w:t>
            </w:r>
          </w:p>
        </w:tc>
      </w:tr>
      <w:tr w:rsidR="00BD002E" w:rsidRPr="003A24E5" w14:paraId="280AE972" w14:textId="77777777" w:rsidTr="00E5707C">
        <w:trPr>
          <w:trHeight w:val="20"/>
        </w:trPr>
        <w:tc>
          <w:tcPr>
            <w:tcW w:w="1814" w:type="dxa"/>
            <w:noWrap/>
            <w:vAlign w:val="center"/>
          </w:tcPr>
          <w:p w14:paraId="6DF63AED"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Qin et al. </w:t>
            </w:r>
          </w:p>
        </w:tc>
        <w:tc>
          <w:tcPr>
            <w:tcW w:w="2551" w:type="dxa"/>
            <w:vAlign w:val="center"/>
          </w:tcPr>
          <w:p w14:paraId="1A3F85B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Diffusion Capacity Abnormalities for Carbon Monoxide in Patients with COVID-19 At Three-Month Follow-up</w:t>
            </w:r>
          </w:p>
        </w:tc>
        <w:tc>
          <w:tcPr>
            <w:tcW w:w="1757" w:type="dxa"/>
            <w:vAlign w:val="center"/>
          </w:tcPr>
          <w:p w14:paraId="11FA966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Eur Respir J</w:t>
            </w:r>
          </w:p>
        </w:tc>
        <w:tc>
          <w:tcPr>
            <w:tcW w:w="1361" w:type="dxa"/>
            <w:noWrap/>
            <w:vAlign w:val="center"/>
          </w:tcPr>
          <w:p w14:paraId="5567BE3C"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07F9EA1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1995B26C"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3 months</w:t>
            </w:r>
          </w:p>
        </w:tc>
        <w:tc>
          <w:tcPr>
            <w:tcW w:w="0" w:type="auto"/>
            <w:vAlign w:val="center"/>
          </w:tcPr>
          <w:p w14:paraId="1EEA92B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10.1183/13993003.03677-2020</w:t>
            </w:r>
          </w:p>
        </w:tc>
      </w:tr>
      <w:tr w:rsidR="00BD002E" w:rsidRPr="003A24E5" w14:paraId="5932FF93" w14:textId="77777777" w:rsidTr="00E5707C">
        <w:trPr>
          <w:trHeight w:val="20"/>
        </w:trPr>
        <w:tc>
          <w:tcPr>
            <w:tcW w:w="1814" w:type="dxa"/>
            <w:noWrap/>
            <w:vAlign w:val="center"/>
          </w:tcPr>
          <w:p w14:paraId="45AA7D06"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Raman et al. </w:t>
            </w:r>
          </w:p>
        </w:tc>
        <w:tc>
          <w:tcPr>
            <w:tcW w:w="2551" w:type="dxa"/>
            <w:vAlign w:val="center"/>
          </w:tcPr>
          <w:p w14:paraId="388B3B6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Medium-term effects of SARS-CoV-2 infection on multiple vital organs, exercise capacity, cognition, quality of life and mental health, post-hospital discharge</w:t>
            </w:r>
          </w:p>
        </w:tc>
        <w:tc>
          <w:tcPr>
            <w:tcW w:w="1757" w:type="dxa"/>
            <w:vAlign w:val="center"/>
          </w:tcPr>
          <w:p w14:paraId="5071B6C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EClinicalMedicine</w:t>
            </w:r>
          </w:p>
        </w:tc>
        <w:tc>
          <w:tcPr>
            <w:tcW w:w="1361" w:type="dxa"/>
            <w:noWrap/>
            <w:vAlign w:val="center"/>
          </w:tcPr>
          <w:p w14:paraId="357ECA0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Not clearly mentioned</w:t>
            </w:r>
          </w:p>
        </w:tc>
        <w:tc>
          <w:tcPr>
            <w:tcW w:w="1247" w:type="dxa"/>
            <w:noWrap/>
            <w:vAlign w:val="center"/>
          </w:tcPr>
          <w:p w14:paraId="5C18B26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U.K.</w:t>
            </w:r>
          </w:p>
        </w:tc>
        <w:tc>
          <w:tcPr>
            <w:tcW w:w="1871" w:type="dxa"/>
            <w:noWrap/>
            <w:vAlign w:val="center"/>
          </w:tcPr>
          <w:p w14:paraId="3A7FEC2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69 (63</w:t>
            </w:r>
            <w:r w:rsidRPr="003A24E5">
              <w:rPr>
                <w:rFonts w:ascii="Times New Roman" w:eastAsia="맑은 고딕" w:hAnsi="Times New Roman" w:cs="Times New Roman"/>
                <w:szCs w:val="20"/>
              </w:rPr>
              <w:t>–75) days</w:t>
            </w:r>
          </w:p>
        </w:tc>
        <w:tc>
          <w:tcPr>
            <w:tcW w:w="0" w:type="auto"/>
            <w:vAlign w:val="center"/>
          </w:tcPr>
          <w:p w14:paraId="5894A2B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10.1016/j.eclinm.2020.100683</w:t>
            </w:r>
          </w:p>
        </w:tc>
      </w:tr>
      <w:tr w:rsidR="00BD002E" w:rsidRPr="003A24E5" w14:paraId="3E65026B" w14:textId="77777777" w:rsidTr="00E5707C">
        <w:trPr>
          <w:trHeight w:val="20"/>
        </w:trPr>
        <w:tc>
          <w:tcPr>
            <w:tcW w:w="1814" w:type="dxa"/>
            <w:noWrap/>
            <w:vAlign w:val="center"/>
          </w:tcPr>
          <w:p w14:paraId="148393FB"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Rogliani et al. </w:t>
            </w:r>
          </w:p>
        </w:tc>
        <w:tc>
          <w:tcPr>
            <w:tcW w:w="2551" w:type="dxa"/>
            <w:vAlign w:val="center"/>
          </w:tcPr>
          <w:p w14:paraId="16D0B50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Are there pulmonary sequelae in patients recovering from COVID-19?</w:t>
            </w:r>
          </w:p>
        </w:tc>
        <w:tc>
          <w:tcPr>
            <w:tcW w:w="1757" w:type="dxa"/>
            <w:vAlign w:val="center"/>
          </w:tcPr>
          <w:p w14:paraId="5FBE049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Respir Res</w:t>
            </w:r>
          </w:p>
        </w:tc>
        <w:tc>
          <w:tcPr>
            <w:tcW w:w="1361" w:type="dxa"/>
            <w:noWrap/>
            <w:vAlign w:val="center"/>
          </w:tcPr>
          <w:p w14:paraId="17C30B6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3098E2C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Italy</w:t>
            </w:r>
          </w:p>
        </w:tc>
        <w:tc>
          <w:tcPr>
            <w:tcW w:w="1871" w:type="dxa"/>
            <w:noWrap/>
            <w:vAlign w:val="center"/>
          </w:tcPr>
          <w:p w14:paraId="7441CCC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48 (43</w:t>
            </w:r>
            <w:r w:rsidRPr="003A24E5">
              <w:rPr>
                <w:rFonts w:ascii="Times New Roman" w:eastAsia="맑은 고딕" w:hAnsi="Times New Roman" w:cs="Times New Roman"/>
                <w:szCs w:val="20"/>
              </w:rPr>
              <w:t>–52) days</w:t>
            </w:r>
          </w:p>
        </w:tc>
        <w:tc>
          <w:tcPr>
            <w:tcW w:w="0" w:type="auto"/>
            <w:vAlign w:val="center"/>
          </w:tcPr>
          <w:p w14:paraId="1B58F2B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10.1186/s12931-020-01550-6</w:t>
            </w:r>
          </w:p>
        </w:tc>
      </w:tr>
      <w:tr w:rsidR="00BD002E" w:rsidRPr="003A24E5" w14:paraId="47D9591B" w14:textId="77777777" w:rsidTr="00E5707C">
        <w:trPr>
          <w:trHeight w:val="20"/>
        </w:trPr>
        <w:tc>
          <w:tcPr>
            <w:tcW w:w="1814" w:type="dxa"/>
            <w:noWrap/>
            <w:vAlign w:val="center"/>
          </w:tcPr>
          <w:p w14:paraId="441AA0D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Shah et al. </w:t>
            </w:r>
          </w:p>
        </w:tc>
        <w:tc>
          <w:tcPr>
            <w:tcW w:w="2551" w:type="dxa"/>
            <w:vAlign w:val="center"/>
          </w:tcPr>
          <w:p w14:paraId="4C98DCA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A prospective study of 12-week respiratory outcomes </w:t>
            </w:r>
            <w:r w:rsidRPr="003A24E5">
              <w:rPr>
                <w:rFonts w:ascii="Times New Roman" w:hAnsi="Times New Roman" w:cs="Times New Roman"/>
                <w:szCs w:val="20"/>
              </w:rPr>
              <w:lastRenderedPageBreak/>
              <w:t>in COVID-19-related hospitalizations</w:t>
            </w:r>
          </w:p>
        </w:tc>
        <w:tc>
          <w:tcPr>
            <w:tcW w:w="1757" w:type="dxa"/>
            <w:vAlign w:val="center"/>
          </w:tcPr>
          <w:p w14:paraId="1F56B5C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Thorax</w:t>
            </w:r>
          </w:p>
        </w:tc>
        <w:tc>
          <w:tcPr>
            <w:tcW w:w="1361" w:type="dxa"/>
            <w:noWrap/>
            <w:vAlign w:val="center"/>
          </w:tcPr>
          <w:p w14:paraId="5C87B64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5D69BE9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Canada</w:t>
            </w:r>
          </w:p>
        </w:tc>
        <w:tc>
          <w:tcPr>
            <w:tcW w:w="1871" w:type="dxa"/>
            <w:noWrap/>
            <w:vAlign w:val="center"/>
          </w:tcPr>
          <w:p w14:paraId="3CC1115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12 weeks</w:t>
            </w:r>
          </w:p>
        </w:tc>
        <w:tc>
          <w:tcPr>
            <w:tcW w:w="0" w:type="auto"/>
            <w:vAlign w:val="center"/>
          </w:tcPr>
          <w:p w14:paraId="55C37E8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10.1136/thoraxjnl-2020-216308</w:t>
            </w:r>
          </w:p>
        </w:tc>
      </w:tr>
      <w:tr w:rsidR="00BD002E" w:rsidRPr="003A24E5" w14:paraId="5931A5A0" w14:textId="77777777" w:rsidTr="00E5707C">
        <w:trPr>
          <w:trHeight w:val="20"/>
        </w:trPr>
        <w:tc>
          <w:tcPr>
            <w:tcW w:w="1814" w:type="dxa"/>
            <w:noWrap/>
            <w:vAlign w:val="center"/>
          </w:tcPr>
          <w:p w14:paraId="783C41C3"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Smet et al. </w:t>
            </w:r>
          </w:p>
        </w:tc>
        <w:tc>
          <w:tcPr>
            <w:tcW w:w="2551" w:type="dxa"/>
            <w:vAlign w:val="center"/>
          </w:tcPr>
          <w:p w14:paraId="3AB3D7B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Clinical status and lung function 10 weeks after severe SARS-CoV-2 infection</w:t>
            </w:r>
          </w:p>
        </w:tc>
        <w:tc>
          <w:tcPr>
            <w:tcW w:w="1757" w:type="dxa"/>
            <w:vAlign w:val="center"/>
          </w:tcPr>
          <w:p w14:paraId="206672E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Respir Med</w:t>
            </w:r>
          </w:p>
        </w:tc>
        <w:tc>
          <w:tcPr>
            <w:tcW w:w="1361" w:type="dxa"/>
            <w:noWrap/>
            <w:vAlign w:val="center"/>
          </w:tcPr>
          <w:p w14:paraId="1552B3F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Not clearly mentioned</w:t>
            </w:r>
          </w:p>
        </w:tc>
        <w:tc>
          <w:tcPr>
            <w:tcW w:w="1247" w:type="dxa"/>
            <w:noWrap/>
            <w:vAlign w:val="center"/>
          </w:tcPr>
          <w:p w14:paraId="20CF502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Belgium</w:t>
            </w:r>
          </w:p>
        </w:tc>
        <w:tc>
          <w:tcPr>
            <w:tcW w:w="1871" w:type="dxa"/>
            <w:noWrap/>
            <w:vAlign w:val="center"/>
          </w:tcPr>
          <w:p w14:paraId="4C434D0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74 ± 12 days</w:t>
            </w:r>
          </w:p>
        </w:tc>
        <w:tc>
          <w:tcPr>
            <w:tcW w:w="0" w:type="auto"/>
            <w:vAlign w:val="center"/>
          </w:tcPr>
          <w:p w14:paraId="4CEDC88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10.1016/j.rmed.2020.106276</w:t>
            </w:r>
          </w:p>
        </w:tc>
      </w:tr>
      <w:tr w:rsidR="00BD002E" w:rsidRPr="003A24E5" w14:paraId="2E7475DE" w14:textId="77777777" w:rsidTr="00E5707C">
        <w:trPr>
          <w:trHeight w:val="20"/>
        </w:trPr>
        <w:tc>
          <w:tcPr>
            <w:tcW w:w="1814" w:type="dxa"/>
            <w:noWrap/>
            <w:vAlign w:val="center"/>
          </w:tcPr>
          <w:p w14:paraId="60ABBDC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Sonnweber et al. </w:t>
            </w:r>
          </w:p>
        </w:tc>
        <w:tc>
          <w:tcPr>
            <w:tcW w:w="2551" w:type="dxa"/>
            <w:vAlign w:val="center"/>
          </w:tcPr>
          <w:p w14:paraId="379C15D2"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Cardiopulmonary recovery after COVID-19 - an observational prospective multicenter trial</w:t>
            </w:r>
          </w:p>
        </w:tc>
        <w:tc>
          <w:tcPr>
            <w:tcW w:w="1757" w:type="dxa"/>
            <w:vAlign w:val="center"/>
          </w:tcPr>
          <w:p w14:paraId="79FDD84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Eur Respir J</w:t>
            </w:r>
          </w:p>
        </w:tc>
        <w:tc>
          <w:tcPr>
            <w:tcW w:w="1361" w:type="dxa"/>
            <w:noWrap/>
            <w:vAlign w:val="center"/>
          </w:tcPr>
          <w:p w14:paraId="1A5FF8F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6EDEB9E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Austria</w:t>
            </w:r>
          </w:p>
        </w:tc>
        <w:tc>
          <w:tcPr>
            <w:tcW w:w="1871" w:type="dxa"/>
            <w:noWrap/>
            <w:vAlign w:val="center"/>
          </w:tcPr>
          <w:p w14:paraId="718F9AA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103 ± 21 days</w:t>
            </w:r>
          </w:p>
        </w:tc>
        <w:tc>
          <w:tcPr>
            <w:tcW w:w="0" w:type="auto"/>
            <w:vAlign w:val="center"/>
          </w:tcPr>
          <w:p w14:paraId="2D2CE5B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10.1183/13993003.03481-2020</w:t>
            </w:r>
          </w:p>
        </w:tc>
      </w:tr>
      <w:tr w:rsidR="00BD002E" w:rsidRPr="003A24E5" w14:paraId="3089FDDC" w14:textId="77777777" w:rsidTr="00E5707C">
        <w:trPr>
          <w:trHeight w:val="20"/>
        </w:trPr>
        <w:tc>
          <w:tcPr>
            <w:tcW w:w="1814" w:type="dxa"/>
            <w:noWrap/>
            <w:vAlign w:val="center"/>
          </w:tcPr>
          <w:p w14:paraId="44DA92D3"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Tabatabaei et al. </w:t>
            </w:r>
          </w:p>
        </w:tc>
        <w:tc>
          <w:tcPr>
            <w:tcW w:w="2551" w:type="dxa"/>
            <w:vAlign w:val="center"/>
          </w:tcPr>
          <w:p w14:paraId="103F85F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Chest CT in COVID-19 pneumonia: what are the findings in mid-term follow-up?</w:t>
            </w:r>
          </w:p>
        </w:tc>
        <w:tc>
          <w:tcPr>
            <w:tcW w:w="1757" w:type="dxa"/>
            <w:vAlign w:val="center"/>
          </w:tcPr>
          <w:p w14:paraId="7002277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Emerg Radiol</w:t>
            </w:r>
          </w:p>
        </w:tc>
        <w:tc>
          <w:tcPr>
            <w:tcW w:w="1361" w:type="dxa"/>
            <w:noWrap/>
            <w:vAlign w:val="center"/>
          </w:tcPr>
          <w:p w14:paraId="1DB20EC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Retrospective cohort</w:t>
            </w:r>
          </w:p>
        </w:tc>
        <w:tc>
          <w:tcPr>
            <w:tcW w:w="1247" w:type="dxa"/>
            <w:noWrap/>
            <w:vAlign w:val="center"/>
          </w:tcPr>
          <w:p w14:paraId="52EDA17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Iran</w:t>
            </w:r>
          </w:p>
        </w:tc>
        <w:tc>
          <w:tcPr>
            <w:tcW w:w="1871" w:type="dxa"/>
            <w:noWrap/>
            <w:vAlign w:val="center"/>
          </w:tcPr>
          <w:p w14:paraId="01581C6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91 ± 16 days</w:t>
            </w:r>
          </w:p>
        </w:tc>
        <w:tc>
          <w:tcPr>
            <w:tcW w:w="0" w:type="auto"/>
            <w:vAlign w:val="center"/>
          </w:tcPr>
          <w:p w14:paraId="2C46BB3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10.1007/s10140-020-01869-z</w:t>
            </w:r>
          </w:p>
        </w:tc>
      </w:tr>
      <w:tr w:rsidR="00BD002E" w:rsidRPr="003A24E5" w14:paraId="4119D854" w14:textId="77777777" w:rsidTr="00E5707C">
        <w:trPr>
          <w:trHeight w:val="20"/>
        </w:trPr>
        <w:tc>
          <w:tcPr>
            <w:tcW w:w="1814" w:type="dxa"/>
            <w:noWrap/>
            <w:vAlign w:val="center"/>
          </w:tcPr>
          <w:p w14:paraId="38DCB913"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Trinkmann et al. </w:t>
            </w:r>
          </w:p>
        </w:tc>
        <w:tc>
          <w:tcPr>
            <w:tcW w:w="2551" w:type="dxa"/>
            <w:vAlign w:val="center"/>
          </w:tcPr>
          <w:p w14:paraId="06B4EF6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Residual symptoms and lower lung function in patients recovering from SARS-CoV-2 infection</w:t>
            </w:r>
          </w:p>
        </w:tc>
        <w:tc>
          <w:tcPr>
            <w:tcW w:w="1757" w:type="dxa"/>
            <w:vAlign w:val="center"/>
          </w:tcPr>
          <w:p w14:paraId="6651D86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Eur Respir J</w:t>
            </w:r>
          </w:p>
        </w:tc>
        <w:tc>
          <w:tcPr>
            <w:tcW w:w="1361" w:type="dxa"/>
            <w:noWrap/>
            <w:vAlign w:val="center"/>
          </w:tcPr>
          <w:p w14:paraId="6CE7BCE9"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11471A2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Germany</w:t>
            </w:r>
          </w:p>
        </w:tc>
        <w:tc>
          <w:tcPr>
            <w:tcW w:w="1871" w:type="dxa"/>
            <w:noWrap/>
            <w:vAlign w:val="center"/>
          </w:tcPr>
          <w:p w14:paraId="6FC3060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68 ± 16 days</w:t>
            </w:r>
          </w:p>
        </w:tc>
        <w:tc>
          <w:tcPr>
            <w:tcW w:w="0" w:type="auto"/>
            <w:vAlign w:val="center"/>
          </w:tcPr>
          <w:p w14:paraId="27CB662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10.1183/13993003.03002-2020</w:t>
            </w:r>
          </w:p>
        </w:tc>
      </w:tr>
      <w:tr w:rsidR="00BD002E" w:rsidRPr="003A24E5" w14:paraId="2E89AECC" w14:textId="77777777" w:rsidTr="00E5707C">
        <w:trPr>
          <w:trHeight w:val="20"/>
        </w:trPr>
        <w:tc>
          <w:tcPr>
            <w:tcW w:w="1814" w:type="dxa"/>
            <w:noWrap/>
            <w:vAlign w:val="center"/>
          </w:tcPr>
          <w:p w14:paraId="178CEE47"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van den Borst et al. </w:t>
            </w:r>
          </w:p>
        </w:tc>
        <w:tc>
          <w:tcPr>
            <w:tcW w:w="2551" w:type="dxa"/>
            <w:vAlign w:val="center"/>
          </w:tcPr>
          <w:p w14:paraId="149DD28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Comprehensive health assessment three months after recovery from acute COVID-19</w:t>
            </w:r>
          </w:p>
        </w:tc>
        <w:tc>
          <w:tcPr>
            <w:tcW w:w="1757" w:type="dxa"/>
            <w:vAlign w:val="center"/>
          </w:tcPr>
          <w:p w14:paraId="05A1D8B0"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Clin Infect Dis</w:t>
            </w:r>
          </w:p>
        </w:tc>
        <w:tc>
          <w:tcPr>
            <w:tcW w:w="1361" w:type="dxa"/>
            <w:noWrap/>
            <w:vAlign w:val="center"/>
          </w:tcPr>
          <w:p w14:paraId="2D029D6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585D142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Netherland</w:t>
            </w:r>
          </w:p>
        </w:tc>
        <w:tc>
          <w:tcPr>
            <w:tcW w:w="1871" w:type="dxa"/>
            <w:noWrap/>
            <w:vAlign w:val="center"/>
          </w:tcPr>
          <w:p w14:paraId="05DA8AD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13 ± 2 weeks</w:t>
            </w:r>
          </w:p>
        </w:tc>
        <w:tc>
          <w:tcPr>
            <w:tcW w:w="0" w:type="auto"/>
            <w:vAlign w:val="center"/>
          </w:tcPr>
          <w:p w14:paraId="2C0DF55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10.1093/cid/ciaa1750</w:t>
            </w:r>
          </w:p>
        </w:tc>
      </w:tr>
      <w:tr w:rsidR="00BD002E" w:rsidRPr="003A24E5" w14:paraId="705A034C" w14:textId="77777777" w:rsidTr="00E5707C">
        <w:trPr>
          <w:trHeight w:val="20"/>
        </w:trPr>
        <w:tc>
          <w:tcPr>
            <w:tcW w:w="1814" w:type="dxa"/>
            <w:noWrap/>
            <w:vAlign w:val="center"/>
          </w:tcPr>
          <w:p w14:paraId="730397AE"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van der Sar et al. </w:t>
            </w:r>
          </w:p>
        </w:tc>
        <w:tc>
          <w:tcPr>
            <w:tcW w:w="2551" w:type="dxa"/>
            <w:vAlign w:val="center"/>
          </w:tcPr>
          <w:p w14:paraId="6BDEEAA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Pulmonary function and </w:t>
            </w:r>
            <w:r w:rsidRPr="003A24E5">
              <w:rPr>
                <w:rFonts w:ascii="Times New Roman" w:hAnsi="Times New Roman" w:cs="Times New Roman"/>
                <w:szCs w:val="20"/>
              </w:rPr>
              <w:lastRenderedPageBreak/>
              <w:t>health-related quality of life after COVID-19 pneumonia</w:t>
            </w:r>
          </w:p>
        </w:tc>
        <w:tc>
          <w:tcPr>
            <w:tcW w:w="1757" w:type="dxa"/>
            <w:vAlign w:val="center"/>
          </w:tcPr>
          <w:p w14:paraId="61DD70B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Respir Med</w:t>
            </w:r>
          </w:p>
        </w:tc>
        <w:tc>
          <w:tcPr>
            <w:tcW w:w="1361" w:type="dxa"/>
            <w:noWrap/>
            <w:vAlign w:val="center"/>
          </w:tcPr>
          <w:p w14:paraId="073A318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Prospective </w:t>
            </w:r>
            <w:r w:rsidRPr="003A24E5">
              <w:rPr>
                <w:rFonts w:ascii="Times New Roman" w:hAnsi="Times New Roman" w:cs="Times New Roman"/>
                <w:szCs w:val="20"/>
              </w:rPr>
              <w:lastRenderedPageBreak/>
              <w:t>cohort</w:t>
            </w:r>
          </w:p>
        </w:tc>
        <w:tc>
          <w:tcPr>
            <w:tcW w:w="1247" w:type="dxa"/>
            <w:noWrap/>
            <w:vAlign w:val="center"/>
          </w:tcPr>
          <w:p w14:paraId="5E8A534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lastRenderedPageBreak/>
              <w:t>Netherland</w:t>
            </w:r>
          </w:p>
        </w:tc>
        <w:tc>
          <w:tcPr>
            <w:tcW w:w="1871" w:type="dxa"/>
            <w:noWrap/>
            <w:vAlign w:val="center"/>
          </w:tcPr>
          <w:p w14:paraId="7BAA42E1"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6 weeks</w:t>
            </w:r>
          </w:p>
        </w:tc>
        <w:tc>
          <w:tcPr>
            <w:tcW w:w="0" w:type="auto"/>
            <w:vAlign w:val="center"/>
          </w:tcPr>
          <w:p w14:paraId="4DD49B6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10.1016/j.rmed.2020.106272</w:t>
            </w:r>
          </w:p>
        </w:tc>
      </w:tr>
      <w:tr w:rsidR="00BD002E" w:rsidRPr="003A24E5" w14:paraId="4673BEC4" w14:textId="77777777" w:rsidTr="00E5707C">
        <w:trPr>
          <w:trHeight w:val="20"/>
        </w:trPr>
        <w:tc>
          <w:tcPr>
            <w:tcW w:w="1814" w:type="dxa"/>
            <w:noWrap/>
            <w:vAlign w:val="center"/>
          </w:tcPr>
          <w:p w14:paraId="483D6EC0"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Venturelli et al. </w:t>
            </w:r>
          </w:p>
        </w:tc>
        <w:tc>
          <w:tcPr>
            <w:tcW w:w="2551" w:type="dxa"/>
            <w:vAlign w:val="center"/>
          </w:tcPr>
          <w:p w14:paraId="77CE843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Surviving COVID-19 in Bergamo province: a post-acute outpatient re-evaluation</w:t>
            </w:r>
          </w:p>
        </w:tc>
        <w:tc>
          <w:tcPr>
            <w:tcW w:w="1757" w:type="dxa"/>
            <w:vAlign w:val="center"/>
          </w:tcPr>
          <w:p w14:paraId="48B2B18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Epidemiol Infect</w:t>
            </w:r>
          </w:p>
        </w:tc>
        <w:tc>
          <w:tcPr>
            <w:tcW w:w="1361" w:type="dxa"/>
            <w:noWrap/>
            <w:vAlign w:val="center"/>
          </w:tcPr>
          <w:p w14:paraId="0A5184F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Prospective cohort</w:t>
            </w:r>
          </w:p>
        </w:tc>
        <w:tc>
          <w:tcPr>
            <w:tcW w:w="1247" w:type="dxa"/>
            <w:noWrap/>
            <w:vAlign w:val="center"/>
          </w:tcPr>
          <w:p w14:paraId="7466303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Italy</w:t>
            </w:r>
          </w:p>
        </w:tc>
        <w:tc>
          <w:tcPr>
            <w:tcW w:w="1871" w:type="dxa"/>
            <w:noWrap/>
            <w:vAlign w:val="center"/>
          </w:tcPr>
          <w:p w14:paraId="0F55D627"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105 (84</w:t>
            </w:r>
            <w:r w:rsidRPr="003A24E5">
              <w:rPr>
                <w:rFonts w:ascii="Times New Roman" w:eastAsia="맑은 고딕" w:hAnsi="Times New Roman" w:cs="Times New Roman"/>
                <w:szCs w:val="20"/>
              </w:rPr>
              <w:t>–127) days</w:t>
            </w:r>
          </w:p>
        </w:tc>
        <w:tc>
          <w:tcPr>
            <w:tcW w:w="0" w:type="auto"/>
            <w:vAlign w:val="center"/>
          </w:tcPr>
          <w:p w14:paraId="6B0553F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10.1017/S0950268821000145</w:t>
            </w:r>
          </w:p>
        </w:tc>
      </w:tr>
      <w:tr w:rsidR="00BD002E" w:rsidRPr="003A24E5" w14:paraId="0AC092DB" w14:textId="77777777" w:rsidTr="00E5707C">
        <w:trPr>
          <w:trHeight w:val="20"/>
        </w:trPr>
        <w:tc>
          <w:tcPr>
            <w:tcW w:w="1814" w:type="dxa"/>
            <w:noWrap/>
            <w:vAlign w:val="center"/>
          </w:tcPr>
          <w:p w14:paraId="616A4556"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Yang et al. </w:t>
            </w:r>
          </w:p>
        </w:tc>
        <w:tc>
          <w:tcPr>
            <w:tcW w:w="2551" w:type="dxa"/>
            <w:vAlign w:val="center"/>
          </w:tcPr>
          <w:p w14:paraId="44F2CFC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Fibrotic Changes Depicted by Thin-Section CT in Patients With COVID-19 at the Early Recovery Stage: Preliminary Experience</w:t>
            </w:r>
          </w:p>
        </w:tc>
        <w:tc>
          <w:tcPr>
            <w:tcW w:w="1757" w:type="dxa"/>
            <w:vAlign w:val="center"/>
          </w:tcPr>
          <w:p w14:paraId="321AEA54"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Front Med</w:t>
            </w:r>
          </w:p>
        </w:tc>
        <w:tc>
          <w:tcPr>
            <w:tcW w:w="1361" w:type="dxa"/>
            <w:noWrap/>
            <w:vAlign w:val="center"/>
          </w:tcPr>
          <w:p w14:paraId="4D9C5FD9"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Retrospective cohort</w:t>
            </w:r>
          </w:p>
        </w:tc>
        <w:tc>
          <w:tcPr>
            <w:tcW w:w="1247" w:type="dxa"/>
            <w:noWrap/>
            <w:vAlign w:val="center"/>
          </w:tcPr>
          <w:p w14:paraId="0315DEAE"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790C5A5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56 (51</w:t>
            </w:r>
            <w:r w:rsidRPr="003A24E5">
              <w:rPr>
                <w:rFonts w:ascii="Times New Roman" w:eastAsia="맑은 고딕" w:hAnsi="Times New Roman" w:cs="Times New Roman"/>
                <w:szCs w:val="20"/>
              </w:rPr>
              <w:t>–63) days</w:t>
            </w:r>
          </w:p>
        </w:tc>
        <w:tc>
          <w:tcPr>
            <w:tcW w:w="0" w:type="auto"/>
            <w:vAlign w:val="center"/>
          </w:tcPr>
          <w:p w14:paraId="69F22D4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10.3389/fmed.2020.605088</w:t>
            </w:r>
          </w:p>
        </w:tc>
      </w:tr>
      <w:tr w:rsidR="00BD002E" w:rsidRPr="003A24E5" w14:paraId="36372863" w14:textId="77777777" w:rsidTr="00E5707C">
        <w:trPr>
          <w:trHeight w:val="20"/>
        </w:trPr>
        <w:tc>
          <w:tcPr>
            <w:tcW w:w="1814" w:type="dxa"/>
            <w:noWrap/>
            <w:vAlign w:val="center"/>
          </w:tcPr>
          <w:p w14:paraId="18CE91A9"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Zhao et al. </w:t>
            </w:r>
          </w:p>
        </w:tc>
        <w:tc>
          <w:tcPr>
            <w:tcW w:w="2551" w:type="dxa"/>
            <w:vAlign w:val="center"/>
          </w:tcPr>
          <w:p w14:paraId="47B6B96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Follow-up study of the pulmonary function and related physiological characteristics of COVID-19 survivors three months after recovery</w:t>
            </w:r>
          </w:p>
        </w:tc>
        <w:tc>
          <w:tcPr>
            <w:tcW w:w="1757" w:type="dxa"/>
            <w:vAlign w:val="center"/>
          </w:tcPr>
          <w:p w14:paraId="47F3FA1D"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EClinicalMedicine</w:t>
            </w:r>
          </w:p>
        </w:tc>
        <w:tc>
          <w:tcPr>
            <w:tcW w:w="1361" w:type="dxa"/>
            <w:noWrap/>
            <w:vAlign w:val="center"/>
          </w:tcPr>
          <w:p w14:paraId="75CF05DF"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Retrospective cohort</w:t>
            </w:r>
          </w:p>
        </w:tc>
        <w:tc>
          <w:tcPr>
            <w:tcW w:w="1247" w:type="dxa"/>
            <w:noWrap/>
            <w:vAlign w:val="center"/>
          </w:tcPr>
          <w:p w14:paraId="222125F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China</w:t>
            </w:r>
          </w:p>
        </w:tc>
        <w:tc>
          <w:tcPr>
            <w:tcW w:w="1871" w:type="dxa"/>
            <w:noWrap/>
            <w:vAlign w:val="center"/>
          </w:tcPr>
          <w:p w14:paraId="6CBA223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64 to 93 days</w:t>
            </w:r>
          </w:p>
        </w:tc>
        <w:tc>
          <w:tcPr>
            <w:tcW w:w="0" w:type="auto"/>
            <w:vAlign w:val="center"/>
          </w:tcPr>
          <w:p w14:paraId="3BBF5546"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10.1016/j.eclinm.2020.100463</w:t>
            </w:r>
          </w:p>
        </w:tc>
      </w:tr>
    </w:tbl>
    <w:p w14:paraId="7D151C27" w14:textId="55AB3F9E" w:rsidR="00BD002E" w:rsidRDefault="00BD002E" w:rsidP="00F22EB5">
      <w:pPr>
        <w:widowControl/>
        <w:wordWrap/>
        <w:autoSpaceDE/>
        <w:autoSpaceDN/>
        <w:spacing w:line="360" w:lineRule="auto"/>
        <w:rPr>
          <w:rFonts w:ascii="Times New Roman" w:hAnsi="Times New Roman" w:cs="Times New Roman"/>
          <w:szCs w:val="20"/>
        </w:rPr>
      </w:pPr>
      <w:r w:rsidRPr="003A24E5">
        <w:rPr>
          <w:rFonts w:ascii="Times New Roman" w:hAnsi="Times New Roman" w:cs="Times New Roman"/>
          <w:szCs w:val="20"/>
        </w:rPr>
        <w:br w:type="page"/>
      </w:r>
    </w:p>
    <w:p w14:paraId="098ED450" w14:textId="3231CFEC" w:rsidR="00BD002E" w:rsidRPr="00563BE4" w:rsidRDefault="00DB06DD" w:rsidP="00F22EB5">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2C580F">
        <w:rPr>
          <w:rFonts w:ascii="Times New Roman" w:hAnsi="Times New Roman" w:cs="Times New Roman"/>
          <w:b/>
          <w:bCs/>
          <w:sz w:val="24"/>
          <w:szCs w:val="24"/>
        </w:rPr>
        <w:t>S</w:t>
      </w:r>
      <w:r>
        <w:rPr>
          <w:rFonts w:ascii="Times New Roman" w:hAnsi="Times New Roman" w:cs="Times New Roman"/>
          <w:b/>
          <w:bCs/>
          <w:sz w:val="24"/>
          <w:szCs w:val="24"/>
        </w:rPr>
        <w:t>2</w:t>
      </w:r>
      <w:r w:rsidR="00BD002E" w:rsidRPr="00563BE4">
        <w:rPr>
          <w:rFonts w:ascii="Times New Roman" w:hAnsi="Times New Roman" w:cs="Times New Roman"/>
          <w:b/>
          <w:bCs/>
          <w:sz w:val="24"/>
          <w:szCs w:val="24"/>
        </w:rPr>
        <w:t>. Summary of risk of bias evaluation</w:t>
      </w:r>
    </w:p>
    <w:tbl>
      <w:tblPr>
        <w:tblStyle w:val="a5"/>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942"/>
        <w:gridCol w:w="938"/>
        <w:gridCol w:w="938"/>
        <w:gridCol w:w="938"/>
        <w:gridCol w:w="938"/>
        <w:gridCol w:w="938"/>
        <w:gridCol w:w="938"/>
        <w:gridCol w:w="938"/>
        <w:gridCol w:w="938"/>
        <w:gridCol w:w="938"/>
        <w:gridCol w:w="1343"/>
        <w:gridCol w:w="1228"/>
      </w:tblGrid>
      <w:tr w:rsidR="00BD002E" w:rsidRPr="003A24E5" w14:paraId="2A315E9B" w14:textId="77777777" w:rsidTr="00BD002E">
        <w:trPr>
          <w:trHeight w:val="20"/>
        </w:trPr>
        <w:tc>
          <w:tcPr>
            <w:tcW w:w="717" w:type="pct"/>
            <w:tcBorders>
              <w:top w:val="single" w:sz="4" w:space="0" w:color="auto"/>
              <w:bottom w:val="single" w:sz="4" w:space="0" w:color="auto"/>
            </w:tcBorders>
            <w:noWrap/>
            <w:vAlign w:val="center"/>
            <w:hideMark/>
          </w:tcPr>
          <w:p w14:paraId="4773B390"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Study</w:t>
            </w:r>
          </w:p>
        </w:tc>
        <w:tc>
          <w:tcPr>
            <w:tcW w:w="337" w:type="pct"/>
            <w:tcBorders>
              <w:top w:val="single" w:sz="4" w:space="0" w:color="auto"/>
              <w:bottom w:val="single" w:sz="4" w:space="0" w:color="auto"/>
            </w:tcBorders>
            <w:vAlign w:val="center"/>
          </w:tcPr>
          <w:p w14:paraId="3CBC857D"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Q1</w:t>
            </w:r>
          </w:p>
        </w:tc>
        <w:tc>
          <w:tcPr>
            <w:tcW w:w="336" w:type="pct"/>
            <w:tcBorders>
              <w:top w:val="single" w:sz="4" w:space="0" w:color="auto"/>
              <w:bottom w:val="single" w:sz="4" w:space="0" w:color="auto"/>
            </w:tcBorders>
            <w:noWrap/>
            <w:vAlign w:val="center"/>
            <w:hideMark/>
          </w:tcPr>
          <w:p w14:paraId="2759CEA6"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Q2</w:t>
            </w:r>
          </w:p>
        </w:tc>
        <w:tc>
          <w:tcPr>
            <w:tcW w:w="336" w:type="pct"/>
            <w:tcBorders>
              <w:top w:val="single" w:sz="4" w:space="0" w:color="auto"/>
              <w:bottom w:val="single" w:sz="4" w:space="0" w:color="auto"/>
            </w:tcBorders>
            <w:vAlign w:val="center"/>
          </w:tcPr>
          <w:p w14:paraId="3B597FA9"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Q3</w:t>
            </w:r>
          </w:p>
        </w:tc>
        <w:tc>
          <w:tcPr>
            <w:tcW w:w="336" w:type="pct"/>
            <w:tcBorders>
              <w:top w:val="single" w:sz="4" w:space="0" w:color="auto"/>
              <w:bottom w:val="single" w:sz="4" w:space="0" w:color="auto"/>
            </w:tcBorders>
            <w:vAlign w:val="center"/>
          </w:tcPr>
          <w:p w14:paraId="73834990"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Q4</w:t>
            </w:r>
          </w:p>
        </w:tc>
        <w:tc>
          <w:tcPr>
            <w:tcW w:w="336" w:type="pct"/>
            <w:tcBorders>
              <w:top w:val="single" w:sz="4" w:space="0" w:color="auto"/>
              <w:bottom w:val="single" w:sz="4" w:space="0" w:color="auto"/>
            </w:tcBorders>
            <w:vAlign w:val="center"/>
          </w:tcPr>
          <w:p w14:paraId="0EAA0AFB"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Q5</w:t>
            </w:r>
          </w:p>
        </w:tc>
        <w:tc>
          <w:tcPr>
            <w:tcW w:w="336" w:type="pct"/>
            <w:tcBorders>
              <w:top w:val="single" w:sz="4" w:space="0" w:color="auto"/>
              <w:bottom w:val="single" w:sz="4" w:space="0" w:color="auto"/>
            </w:tcBorders>
            <w:vAlign w:val="center"/>
          </w:tcPr>
          <w:p w14:paraId="2C7407CA"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Q6</w:t>
            </w:r>
          </w:p>
        </w:tc>
        <w:tc>
          <w:tcPr>
            <w:tcW w:w="336" w:type="pct"/>
            <w:tcBorders>
              <w:top w:val="single" w:sz="4" w:space="0" w:color="auto"/>
              <w:bottom w:val="single" w:sz="4" w:space="0" w:color="auto"/>
            </w:tcBorders>
            <w:vAlign w:val="center"/>
          </w:tcPr>
          <w:p w14:paraId="7A5BAA98"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Q7</w:t>
            </w:r>
          </w:p>
        </w:tc>
        <w:tc>
          <w:tcPr>
            <w:tcW w:w="336" w:type="pct"/>
            <w:tcBorders>
              <w:top w:val="single" w:sz="4" w:space="0" w:color="auto"/>
              <w:bottom w:val="single" w:sz="4" w:space="0" w:color="auto"/>
            </w:tcBorders>
            <w:vAlign w:val="center"/>
          </w:tcPr>
          <w:p w14:paraId="29AC7DBC"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Q8</w:t>
            </w:r>
          </w:p>
        </w:tc>
        <w:tc>
          <w:tcPr>
            <w:tcW w:w="336" w:type="pct"/>
            <w:tcBorders>
              <w:top w:val="single" w:sz="4" w:space="0" w:color="auto"/>
              <w:bottom w:val="single" w:sz="4" w:space="0" w:color="auto"/>
            </w:tcBorders>
            <w:vAlign w:val="center"/>
          </w:tcPr>
          <w:p w14:paraId="59605A28"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Q9</w:t>
            </w:r>
          </w:p>
        </w:tc>
        <w:tc>
          <w:tcPr>
            <w:tcW w:w="336" w:type="pct"/>
            <w:tcBorders>
              <w:top w:val="single" w:sz="4" w:space="0" w:color="auto"/>
              <w:bottom w:val="single" w:sz="4" w:space="0" w:color="auto"/>
            </w:tcBorders>
            <w:vAlign w:val="center"/>
          </w:tcPr>
          <w:p w14:paraId="606F8799"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Q10</w:t>
            </w:r>
          </w:p>
        </w:tc>
        <w:tc>
          <w:tcPr>
            <w:tcW w:w="481" w:type="pct"/>
            <w:tcBorders>
              <w:top w:val="single" w:sz="4" w:space="0" w:color="auto"/>
              <w:bottom w:val="single" w:sz="4" w:space="0" w:color="auto"/>
            </w:tcBorders>
            <w:vAlign w:val="center"/>
          </w:tcPr>
          <w:p w14:paraId="0E440683" w14:textId="0AC29094"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Total</w:t>
            </w:r>
            <w:r>
              <w:rPr>
                <w:rFonts w:ascii="Times New Roman" w:hAnsi="Times New Roman" w:cs="Times New Roman"/>
                <w:szCs w:val="20"/>
              </w:rPr>
              <w:t xml:space="preserve"> </w:t>
            </w:r>
            <w:r w:rsidRPr="003A24E5">
              <w:rPr>
                <w:rFonts w:ascii="Times New Roman" w:hAnsi="Times New Roman" w:cs="Times New Roman"/>
                <w:szCs w:val="20"/>
              </w:rPr>
              <w:t>score</w:t>
            </w:r>
          </w:p>
        </w:tc>
        <w:tc>
          <w:tcPr>
            <w:tcW w:w="440" w:type="pct"/>
            <w:tcBorders>
              <w:top w:val="single" w:sz="4" w:space="0" w:color="auto"/>
              <w:bottom w:val="single" w:sz="4" w:space="0" w:color="auto"/>
            </w:tcBorders>
            <w:vAlign w:val="center"/>
          </w:tcPr>
          <w:p w14:paraId="62BA8FF4" w14:textId="77777777" w:rsidR="00BD002E" w:rsidRPr="003A24E5" w:rsidRDefault="00BD002E" w:rsidP="00F22EB5">
            <w:pPr>
              <w:spacing w:line="360" w:lineRule="auto"/>
              <w:jc w:val="center"/>
              <w:rPr>
                <w:rFonts w:ascii="Times New Roman" w:hAnsi="Times New Roman" w:cs="Times New Roman"/>
                <w:szCs w:val="20"/>
              </w:rPr>
            </w:pPr>
            <w:r w:rsidRPr="003A24E5">
              <w:rPr>
                <w:rFonts w:ascii="Times New Roman" w:hAnsi="Times New Roman" w:cs="Times New Roman"/>
                <w:szCs w:val="20"/>
              </w:rPr>
              <w:t>Overall risk</w:t>
            </w:r>
          </w:p>
        </w:tc>
      </w:tr>
      <w:tr w:rsidR="00BD002E" w:rsidRPr="003A24E5" w14:paraId="024BC0CA" w14:textId="77777777" w:rsidTr="00BD002E">
        <w:trPr>
          <w:trHeight w:val="20"/>
        </w:trPr>
        <w:tc>
          <w:tcPr>
            <w:tcW w:w="717" w:type="pct"/>
            <w:tcBorders>
              <w:top w:val="single" w:sz="4" w:space="0" w:color="auto"/>
            </w:tcBorders>
            <w:noWrap/>
            <w:vAlign w:val="center"/>
          </w:tcPr>
          <w:p w14:paraId="4307276A"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Anastasio et al.</w:t>
            </w:r>
          </w:p>
        </w:tc>
        <w:tc>
          <w:tcPr>
            <w:tcW w:w="337" w:type="pct"/>
            <w:tcBorders>
              <w:top w:val="single" w:sz="4" w:space="0" w:color="auto"/>
            </w:tcBorders>
            <w:vAlign w:val="center"/>
          </w:tcPr>
          <w:p w14:paraId="047FF5D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tcBorders>
              <w:top w:val="single" w:sz="4" w:space="0" w:color="auto"/>
            </w:tcBorders>
            <w:noWrap/>
            <w:vAlign w:val="center"/>
          </w:tcPr>
          <w:p w14:paraId="3C05DA0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478ABBA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304DBF7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31B75B9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6240EF5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702ACDB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3523FCD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tcBorders>
              <w:top w:val="single" w:sz="4" w:space="0" w:color="auto"/>
            </w:tcBorders>
            <w:vAlign w:val="center"/>
          </w:tcPr>
          <w:p w14:paraId="40A89A7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tcBorders>
              <w:top w:val="single" w:sz="4" w:space="0" w:color="auto"/>
            </w:tcBorders>
            <w:vAlign w:val="center"/>
          </w:tcPr>
          <w:p w14:paraId="1F3A2AC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tcBorders>
              <w:top w:val="single" w:sz="4" w:space="0" w:color="auto"/>
            </w:tcBorders>
            <w:vAlign w:val="center"/>
          </w:tcPr>
          <w:p w14:paraId="15872D6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tcBorders>
              <w:top w:val="single" w:sz="4" w:space="0" w:color="auto"/>
            </w:tcBorders>
            <w:vAlign w:val="center"/>
          </w:tcPr>
          <w:p w14:paraId="7DE62CA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w:t>
            </w:r>
            <w:r>
              <w:rPr>
                <w:rFonts w:ascii="Times New Roman" w:hAnsi="Times New Roman" w:cs="Times New Roman"/>
                <w:szCs w:val="20"/>
              </w:rPr>
              <w:t>ow</w:t>
            </w:r>
          </w:p>
        </w:tc>
      </w:tr>
      <w:tr w:rsidR="00BD002E" w:rsidRPr="003A24E5" w14:paraId="0F734134" w14:textId="77777777" w:rsidTr="00BD002E">
        <w:trPr>
          <w:trHeight w:val="20"/>
        </w:trPr>
        <w:tc>
          <w:tcPr>
            <w:tcW w:w="717" w:type="pct"/>
            <w:noWrap/>
            <w:vAlign w:val="center"/>
          </w:tcPr>
          <w:p w14:paraId="2F2FA8D3"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Arnold et al. </w:t>
            </w:r>
          </w:p>
        </w:tc>
        <w:tc>
          <w:tcPr>
            <w:tcW w:w="337" w:type="pct"/>
            <w:vAlign w:val="center"/>
          </w:tcPr>
          <w:p w14:paraId="526C7D4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270EB00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98324C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727B1C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8DBE8F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7847AF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06DEA3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3BDFD8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AB489A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B10879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42E2B6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9</w:t>
            </w:r>
          </w:p>
        </w:tc>
        <w:tc>
          <w:tcPr>
            <w:tcW w:w="440" w:type="pct"/>
            <w:vAlign w:val="center"/>
          </w:tcPr>
          <w:p w14:paraId="2A440B5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w:t>
            </w:r>
            <w:r>
              <w:rPr>
                <w:rFonts w:ascii="Times New Roman" w:hAnsi="Times New Roman" w:cs="Times New Roman"/>
                <w:szCs w:val="20"/>
              </w:rPr>
              <w:t>ow</w:t>
            </w:r>
          </w:p>
        </w:tc>
      </w:tr>
      <w:tr w:rsidR="00BD002E" w:rsidRPr="003A24E5" w14:paraId="7707ED9F" w14:textId="77777777" w:rsidTr="00BD002E">
        <w:trPr>
          <w:trHeight w:val="20"/>
        </w:trPr>
        <w:tc>
          <w:tcPr>
            <w:tcW w:w="717" w:type="pct"/>
            <w:noWrap/>
            <w:vAlign w:val="center"/>
          </w:tcPr>
          <w:p w14:paraId="53991765"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Bellan et al. </w:t>
            </w:r>
          </w:p>
        </w:tc>
        <w:tc>
          <w:tcPr>
            <w:tcW w:w="337" w:type="pct"/>
            <w:vAlign w:val="center"/>
          </w:tcPr>
          <w:p w14:paraId="33235DA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6ECD837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D3999B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5C9E1F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CEE58D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ED3B62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AFEF16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17F8EA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58F6F4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AAD113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6C7A790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318283D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w:t>
            </w:r>
            <w:r>
              <w:rPr>
                <w:rFonts w:ascii="Times New Roman" w:hAnsi="Times New Roman" w:cs="Times New Roman"/>
                <w:szCs w:val="20"/>
              </w:rPr>
              <w:t>ow</w:t>
            </w:r>
          </w:p>
        </w:tc>
      </w:tr>
      <w:tr w:rsidR="00BD002E" w:rsidRPr="003A24E5" w14:paraId="2AB16660" w14:textId="77777777" w:rsidTr="00BD002E">
        <w:trPr>
          <w:trHeight w:val="20"/>
        </w:trPr>
        <w:tc>
          <w:tcPr>
            <w:tcW w:w="717" w:type="pct"/>
            <w:noWrap/>
            <w:vAlign w:val="center"/>
          </w:tcPr>
          <w:p w14:paraId="0633E0E8"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Daher et al. </w:t>
            </w:r>
          </w:p>
        </w:tc>
        <w:tc>
          <w:tcPr>
            <w:tcW w:w="337" w:type="pct"/>
            <w:vAlign w:val="center"/>
          </w:tcPr>
          <w:p w14:paraId="0F47C66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F921D2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3375379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32E1535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947547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080895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E20965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335082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486E45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5F2901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158F45F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347C96C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w:t>
            </w:r>
            <w:r>
              <w:rPr>
                <w:rFonts w:ascii="Times New Roman" w:hAnsi="Times New Roman" w:cs="Times New Roman"/>
                <w:szCs w:val="20"/>
              </w:rPr>
              <w:t>oderate</w:t>
            </w:r>
          </w:p>
        </w:tc>
      </w:tr>
      <w:tr w:rsidR="00BD002E" w:rsidRPr="003A24E5" w14:paraId="46B43F7E" w14:textId="77777777" w:rsidTr="00BD002E">
        <w:trPr>
          <w:trHeight w:val="20"/>
        </w:trPr>
        <w:tc>
          <w:tcPr>
            <w:tcW w:w="717" w:type="pct"/>
            <w:noWrap/>
            <w:vAlign w:val="center"/>
          </w:tcPr>
          <w:p w14:paraId="72B1440B" w14:textId="77777777" w:rsidR="00BD002E" w:rsidRPr="003A24E5" w:rsidRDefault="00BD002E" w:rsidP="00F22EB5">
            <w:pPr>
              <w:spacing w:line="360" w:lineRule="auto"/>
              <w:jc w:val="left"/>
              <w:rPr>
                <w:rFonts w:ascii="Times New Roman" w:hAnsi="Times New Roman" w:cs="Times New Roman"/>
                <w:szCs w:val="20"/>
              </w:rPr>
            </w:pPr>
            <w:r w:rsidRPr="003A24E5">
              <w:rPr>
                <w:rFonts w:ascii="Times New Roman" w:hAnsi="Times New Roman" w:cs="Times New Roman"/>
                <w:szCs w:val="20"/>
              </w:rPr>
              <w:t xml:space="preserve">D'Cruz et al. </w:t>
            </w:r>
          </w:p>
        </w:tc>
        <w:tc>
          <w:tcPr>
            <w:tcW w:w="337" w:type="pct"/>
            <w:vAlign w:val="center"/>
          </w:tcPr>
          <w:p w14:paraId="158C4BA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23F815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952A70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2DD792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57D91F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D550DB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2FCEC2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BFD05A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4CF0EA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671992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5F0D0C0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1293AF2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w:t>
            </w:r>
            <w:r>
              <w:rPr>
                <w:rFonts w:ascii="Times New Roman" w:hAnsi="Times New Roman" w:cs="Times New Roman"/>
                <w:szCs w:val="20"/>
              </w:rPr>
              <w:t>oderate</w:t>
            </w:r>
          </w:p>
        </w:tc>
      </w:tr>
      <w:tr w:rsidR="00BD002E" w:rsidRPr="003A24E5" w14:paraId="2A137162" w14:textId="77777777" w:rsidTr="00BD002E">
        <w:trPr>
          <w:trHeight w:val="20"/>
        </w:trPr>
        <w:tc>
          <w:tcPr>
            <w:tcW w:w="717" w:type="pct"/>
            <w:noWrap/>
            <w:vAlign w:val="center"/>
          </w:tcPr>
          <w:p w14:paraId="0BF49F11"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de Graaf et al. </w:t>
            </w:r>
          </w:p>
        </w:tc>
        <w:tc>
          <w:tcPr>
            <w:tcW w:w="337" w:type="pct"/>
            <w:vAlign w:val="center"/>
          </w:tcPr>
          <w:p w14:paraId="4286FDE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FC87A7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90FDDE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0C0041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169A9C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DA3968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7D1B0E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27C3FE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3AC13F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3B86305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25FA268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08A481C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w:t>
            </w:r>
            <w:r>
              <w:rPr>
                <w:rFonts w:ascii="Times New Roman" w:hAnsi="Times New Roman" w:cs="Times New Roman"/>
                <w:szCs w:val="20"/>
              </w:rPr>
              <w:t>oderate</w:t>
            </w:r>
          </w:p>
        </w:tc>
      </w:tr>
      <w:tr w:rsidR="00BD002E" w:rsidRPr="003A24E5" w14:paraId="651793B2" w14:textId="77777777" w:rsidTr="00BD002E">
        <w:trPr>
          <w:trHeight w:val="20"/>
        </w:trPr>
        <w:tc>
          <w:tcPr>
            <w:tcW w:w="717" w:type="pct"/>
            <w:noWrap/>
            <w:vAlign w:val="center"/>
          </w:tcPr>
          <w:p w14:paraId="46F1780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Guler et al. </w:t>
            </w:r>
          </w:p>
        </w:tc>
        <w:tc>
          <w:tcPr>
            <w:tcW w:w="337" w:type="pct"/>
            <w:vAlign w:val="center"/>
          </w:tcPr>
          <w:p w14:paraId="3896333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noWrap/>
            <w:vAlign w:val="center"/>
          </w:tcPr>
          <w:p w14:paraId="753828F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689417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AA2084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524DB5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1FF9E5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66AC54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91FF64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A391EA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2C599A0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0475C7B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357BAFE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w:t>
            </w:r>
            <w:r>
              <w:rPr>
                <w:rFonts w:ascii="Times New Roman" w:hAnsi="Times New Roman" w:cs="Times New Roman"/>
                <w:szCs w:val="20"/>
              </w:rPr>
              <w:t>ow</w:t>
            </w:r>
          </w:p>
        </w:tc>
      </w:tr>
      <w:tr w:rsidR="00BD002E" w:rsidRPr="003A24E5" w14:paraId="751CC6AA" w14:textId="77777777" w:rsidTr="00BD002E">
        <w:trPr>
          <w:trHeight w:val="20"/>
        </w:trPr>
        <w:tc>
          <w:tcPr>
            <w:tcW w:w="717" w:type="pct"/>
            <w:noWrap/>
            <w:vAlign w:val="center"/>
          </w:tcPr>
          <w:p w14:paraId="5489F3A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Han et al. </w:t>
            </w:r>
          </w:p>
        </w:tc>
        <w:tc>
          <w:tcPr>
            <w:tcW w:w="337" w:type="pct"/>
            <w:vAlign w:val="center"/>
          </w:tcPr>
          <w:p w14:paraId="4B54F4E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15452F3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A3057C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4BA3184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AE6FFC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AEE968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Y</w:t>
            </w:r>
          </w:p>
        </w:tc>
        <w:tc>
          <w:tcPr>
            <w:tcW w:w="336" w:type="pct"/>
            <w:vAlign w:val="center"/>
          </w:tcPr>
          <w:p w14:paraId="4E10DBA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7C895F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52E63A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3FB1AA4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1DDD360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6</w:t>
            </w:r>
          </w:p>
        </w:tc>
        <w:tc>
          <w:tcPr>
            <w:tcW w:w="440" w:type="pct"/>
            <w:vAlign w:val="center"/>
          </w:tcPr>
          <w:p w14:paraId="4A6DE5F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High</w:t>
            </w:r>
          </w:p>
        </w:tc>
      </w:tr>
      <w:tr w:rsidR="00BD002E" w:rsidRPr="003A24E5" w14:paraId="687463AD" w14:textId="77777777" w:rsidTr="00BD002E">
        <w:trPr>
          <w:trHeight w:val="20"/>
        </w:trPr>
        <w:tc>
          <w:tcPr>
            <w:tcW w:w="717" w:type="pct"/>
            <w:noWrap/>
            <w:vAlign w:val="center"/>
          </w:tcPr>
          <w:p w14:paraId="6BFE6AF4"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Huang C et al. </w:t>
            </w:r>
          </w:p>
        </w:tc>
        <w:tc>
          <w:tcPr>
            <w:tcW w:w="337" w:type="pct"/>
            <w:vAlign w:val="center"/>
          </w:tcPr>
          <w:p w14:paraId="1A5A14F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0CE2369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D55454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2B4F896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556779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1362FB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6D1A69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3F00B2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AE7B90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6B2476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506A144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1099699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7775DB07" w14:textId="77777777" w:rsidTr="00BD002E">
        <w:trPr>
          <w:trHeight w:val="20"/>
        </w:trPr>
        <w:tc>
          <w:tcPr>
            <w:tcW w:w="717" w:type="pct"/>
            <w:noWrap/>
            <w:vAlign w:val="center"/>
          </w:tcPr>
          <w:p w14:paraId="5420C8ED"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Huang Y et al. </w:t>
            </w:r>
          </w:p>
        </w:tc>
        <w:tc>
          <w:tcPr>
            <w:tcW w:w="337" w:type="pct"/>
            <w:vAlign w:val="center"/>
          </w:tcPr>
          <w:p w14:paraId="08C9073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232677A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5C96E7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B9F2CB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48404E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7BD259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E585F4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F4D35C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01542E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AB54EF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8A2736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0B31256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Moderate</w:t>
            </w:r>
          </w:p>
        </w:tc>
      </w:tr>
      <w:tr w:rsidR="00BD002E" w:rsidRPr="003A24E5" w14:paraId="1FE6D2A1" w14:textId="77777777" w:rsidTr="00BD002E">
        <w:trPr>
          <w:trHeight w:val="20"/>
        </w:trPr>
        <w:tc>
          <w:tcPr>
            <w:tcW w:w="717" w:type="pct"/>
            <w:noWrap/>
            <w:vAlign w:val="center"/>
          </w:tcPr>
          <w:p w14:paraId="7F609539"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Lerum et al. </w:t>
            </w:r>
          </w:p>
        </w:tc>
        <w:tc>
          <w:tcPr>
            <w:tcW w:w="337" w:type="pct"/>
            <w:vAlign w:val="center"/>
          </w:tcPr>
          <w:p w14:paraId="3749AB5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noWrap/>
            <w:vAlign w:val="center"/>
          </w:tcPr>
          <w:p w14:paraId="203DDC6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03E1C9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69DA876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F89FC2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B9C063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BA74AE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BF1D23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71B693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19F606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5A41527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9</w:t>
            </w:r>
          </w:p>
        </w:tc>
        <w:tc>
          <w:tcPr>
            <w:tcW w:w="440" w:type="pct"/>
            <w:vAlign w:val="center"/>
          </w:tcPr>
          <w:p w14:paraId="17046D6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62CF9A2A" w14:textId="77777777" w:rsidTr="00BD002E">
        <w:trPr>
          <w:trHeight w:val="20"/>
        </w:trPr>
        <w:tc>
          <w:tcPr>
            <w:tcW w:w="717" w:type="pct"/>
            <w:noWrap/>
            <w:vAlign w:val="center"/>
          </w:tcPr>
          <w:p w14:paraId="752B30C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Liang et al. </w:t>
            </w:r>
          </w:p>
        </w:tc>
        <w:tc>
          <w:tcPr>
            <w:tcW w:w="337" w:type="pct"/>
            <w:vAlign w:val="center"/>
          </w:tcPr>
          <w:p w14:paraId="14FADDF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7721417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N</w:t>
            </w:r>
          </w:p>
        </w:tc>
        <w:tc>
          <w:tcPr>
            <w:tcW w:w="336" w:type="pct"/>
            <w:vAlign w:val="center"/>
          </w:tcPr>
          <w:p w14:paraId="51D84C3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1EFB9D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4BA006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EADE3A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0036A0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E06E7F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9FD66F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4962E33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1B3D9F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6</w:t>
            </w:r>
          </w:p>
        </w:tc>
        <w:tc>
          <w:tcPr>
            <w:tcW w:w="440" w:type="pct"/>
            <w:vAlign w:val="center"/>
          </w:tcPr>
          <w:p w14:paraId="1BBDFE4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High</w:t>
            </w:r>
          </w:p>
        </w:tc>
      </w:tr>
      <w:tr w:rsidR="00BD002E" w:rsidRPr="003A24E5" w14:paraId="3AA78316" w14:textId="77777777" w:rsidTr="00BD002E">
        <w:trPr>
          <w:trHeight w:val="20"/>
        </w:trPr>
        <w:tc>
          <w:tcPr>
            <w:tcW w:w="717" w:type="pct"/>
            <w:noWrap/>
            <w:vAlign w:val="center"/>
          </w:tcPr>
          <w:p w14:paraId="515A30F2"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Liu et al. </w:t>
            </w:r>
          </w:p>
        </w:tc>
        <w:tc>
          <w:tcPr>
            <w:tcW w:w="337" w:type="pct"/>
            <w:vAlign w:val="center"/>
          </w:tcPr>
          <w:p w14:paraId="0C149F2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0E29D8C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66E4D0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08E776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487DDD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B578EF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914DF7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0CDBF7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037B70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2476B17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881E5C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6</w:t>
            </w:r>
          </w:p>
        </w:tc>
        <w:tc>
          <w:tcPr>
            <w:tcW w:w="440" w:type="pct"/>
            <w:vAlign w:val="center"/>
          </w:tcPr>
          <w:p w14:paraId="2A59308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High</w:t>
            </w:r>
          </w:p>
        </w:tc>
      </w:tr>
      <w:tr w:rsidR="00BD002E" w:rsidRPr="003A24E5" w14:paraId="34B45146" w14:textId="77777777" w:rsidTr="00BD002E">
        <w:trPr>
          <w:trHeight w:val="20"/>
        </w:trPr>
        <w:tc>
          <w:tcPr>
            <w:tcW w:w="717" w:type="pct"/>
            <w:noWrap/>
            <w:vAlign w:val="center"/>
          </w:tcPr>
          <w:p w14:paraId="475CA6E1"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Marvisi et al. </w:t>
            </w:r>
          </w:p>
        </w:tc>
        <w:tc>
          <w:tcPr>
            <w:tcW w:w="337" w:type="pct"/>
            <w:vAlign w:val="center"/>
          </w:tcPr>
          <w:p w14:paraId="487ACEF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2A61DF2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7BA885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A0DAC7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99E9E9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5379BC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1607B6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D6B3BB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5DDD95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AE7582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382E054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588D02E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Moderate</w:t>
            </w:r>
          </w:p>
        </w:tc>
      </w:tr>
      <w:tr w:rsidR="00BD002E" w:rsidRPr="003A24E5" w14:paraId="3236CB88" w14:textId="77777777" w:rsidTr="00BD002E">
        <w:trPr>
          <w:trHeight w:val="20"/>
        </w:trPr>
        <w:tc>
          <w:tcPr>
            <w:tcW w:w="717" w:type="pct"/>
            <w:noWrap/>
            <w:vAlign w:val="center"/>
          </w:tcPr>
          <w:p w14:paraId="049EB49D"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Méndez et al. </w:t>
            </w:r>
          </w:p>
        </w:tc>
        <w:tc>
          <w:tcPr>
            <w:tcW w:w="337" w:type="pct"/>
            <w:vAlign w:val="center"/>
          </w:tcPr>
          <w:p w14:paraId="578397C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6E6224E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62E7E9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0BA79F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CE6955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4FACC9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487C0D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6FDE39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510F42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672772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0512D1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753CA29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5002595C" w14:textId="77777777" w:rsidTr="00BD002E">
        <w:trPr>
          <w:trHeight w:val="20"/>
        </w:trPr>
        <w:tc>
          <w:tcPr>
            <w:tcW w:w="717" w:type="pct"/>
            <w:noWrap/>
            <w:vAlign w:val="center"/>
          </w:tcPr>
          <w:p w14:paraId="7B2AF54C"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Moreno-Pérez et al. </w:t>
            </w:r>
          </w:p>
        </w:tc>
        <w:tc>
          <w:tcPr>
            <w:tcW w:w="337" w:type="pct"/>
            <w:vAlign w:val="center"/>
          </w:tcPr>
          <w:p w14:paraId="3A115D1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72D3E8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DC5A97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3026EC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F60A58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9BA1E3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42590A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02B0F6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EFA361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FF8C94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64E52E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35CE8CF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7BEAD11B" w14:textId="77777777" w:rsidTr="00BD002E">
        <w:trPr>
          <w:trHeight w:val="20"/>
        </w:trPr>
        <w:tc>
          <w:tcPr>
            <w:tcW w:w="717" w:type="pct"/>
            <w:noWrap/>
            <w:vAlign w:val="center"/>
          </w:tcPr>
          <w:p w14:paraId="052B0DC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Qin et al. </w:t>
            </w:r>
          </w:p>
        </w:tc>
        <w:tc>
          <w:tcPr>
            <w:tcW w:w="337" w:type="pct"/>
            <w:vAlign w:val="center"/>
          </w:tcPr>
          <w:p w14:paraId="5FBBEEE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7C8A71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7BF571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27D654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FA4015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1D3E2D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8B2FF9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605273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EBF3D0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994342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15A12EC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638B8E9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Moderate</w:t>
            </w:r>
          </w:p>
        </w:tc>
      </w:tr>
      <w:tr w:rsidR="00BD002E" w:rsidRPr="003A24E5" w14:paraId="4389E582" w14:textId="77777777" w:rsidTr="00BD002E">
        <w:trPr>
          <w:trHeight w:val="20"/>
        </w:trPr>
        <w:tc>
          <w:tcPr>
            <w:tcW w:w="717" w:type="pct"/>
            <w:noWrap/>
            <w:vAlign w:val="center"/>
          </w:tcPr>
          <w:p w14:paraId="7A650239"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Raman et al. </w:t>
            </w:r>
          </w:p>
        </w:tc>
        <w:tc>
          <w:tcPr>
            <w:tcW w:w="337" w:type="pct"/>
            <w:vAlign w:val="center"/>
          </w:tcPr>
          <w:p w14:paraId="10134A0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F0AE79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063AD4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3AFA53D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06ED54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6F9599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6EECA4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1D3BAA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2AC418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559CB7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40DFEA7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7</w:t>
            </w:r>
          </w:p>
        </w:tc>
        <w:tc>
          <w:tcPr>
            <w:tcW w:w="440" w:type="pct"/>
            <w:vAlign w:val="center"/>
          </w:tcPr>
          <w:p w14:paraId="6932238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Moderate</w:t>
            </w:r>
          </w:p>
        </w:tc>
      </w:tr>
      <w:tr w:rsidR="00BD002E" w:rsidRPr="003A24E5" w14:paraId="601D6348" w14:textId="77777777" w:rsidTr="00BD002E">
        <w:trPr>
          <w:trHeight w:val="20"/>
        </w:trPr>
        <w:tc>
          <w:tcPr>
            <w:tcW w:w="717" w:type="pct"/>
            <w:noWrap/>
            <w:vAlign w:val="center"/>
          </w:tcPr>
          <w:p w14:paraId="1C36828C"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Rogliani et al. </w:t>
            </w:r>
          </w:p>
        </w:tc>
        <w:tc>
          <w:tcPr>
            <w:tcW w:w="337" w:type="pct"/>
            <w:vAlign w:val="center"/>
          </w:tcPr>
          <w:p w14:paraId="723AF1E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5A5FEC5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CFB688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43E6CEF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89F19E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AB2490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4A95B2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01AC26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DA1D8F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50C6D7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58CF645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274A153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626BB670" w14:textId="77777777" w:rsidTr="00BD002E">
        <w:trPr>
          <w:trHeight w:val="20"/>
        </w:trPr>
        <w:tc>
          <w:tcPr>
            <w:tcW w:w="717" w:type="pct"/>
            <w:noWrap/>
            <w:vAlign w:val="center"/>
          </w:tcPr>
          <w:p w14:paraId="62769BBE"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Shah et al. </w:t>
            </w:r>
          </w:p>
        </w:tc>
        <w:tc>
          <w:tcPr>
            <w:tcW w:w="337" w:type="pct"/>
            <w:vAlign w:val="center"/>
          </w:tcPr>
          <w:p w14:paraId="7B41B90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2363A4F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40BD9CA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4530BB7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993BE0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3EE2CE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33D2DE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D17A3A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EEF281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7E2117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Y</w:t>
            </w:r>
          </w:p>
        </w:tc>
        <w:tc>
          <w:tcPr>
            <w:tcW w:w="481" w:type="pct"/>
            <w:vAlign w:val="center"/>
          </w:tcPr>
          <w:p w14:paraId="36C5AA0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szCs w:val="20"/>
              </w:rPr>
              <w:t>6</w:t>
            </w:r>
          </w:p>
        </w:tc>
        <w:tc>
          <w:tcPr>
            <w:tcW w:w="440" w:type="pct"/>
            <w:vAlign w:val="center"/>
          </w:tcPr>
          <w:p w14:paraId="58196CB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High</w:t>
            </w:r>
          </w:p>
        </w:tc>
      </w:tr>
      <w:tr w:rsidR="00BD002E" w:rsidRPr="003A24E5" w14:paraId="0F20A5D0" w14:textId="77777777" w:rsidTr="00BD002E">
        <w:trPr>
          <w:trHeight w:val="20"/>
        </w:trPr>
        <w:tc>
          <w:tcPr>
            <w:tcW w:w="717" w:type="pct"/>
            <w:noWrap/>
            <w:vAlign w:val="center"/>
          </w:tcPr>
          <w:p w14:paraId="5942D55B"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Smet et al. </w:t>
            </w:r>
          </w:p>
        </w:tc>
        <w:tc>
          <w:tcPr>
            <w:tcW w:w="337" w:type="pct"/>
            <w:vAlign w:val="center"/>
          </w:tcPr>
          <w:p w14:paraId="73FFE8C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3B915F7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3088EA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A568E5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5A067D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5BD809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1FA417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8AE900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BD84AE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3BEBBD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4738EFD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6E56B31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Moderate</w:t>
            </w:r>
          </w:p>
        </w:tc>
      </w:tr>
      <w:tr w:rsidR="00BD002E" w:rsidRPr="003A24E5" w14:paraId="073B1C01" w14:textId="77777777" w:rsidTr="00BD002E">
        <w:trPr>
          <w:trHeight w:val="20"/>
        </w:trPr>
        <w:tc>
          <w:tcPr>
            <w:tcW w:w="717" w:type="pct"/>
            <w:noWrap/>
            <w:vAlign w:val="center"/>
          </w:tcPr>
          <w:p w14:paraId="7285E22B"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lastRenderedPageBreak/>
              <w:t xml:space="preserve">Sonnweber et al. </w:t>
            </w:r>
          </w:p>
        </w:tc>
        <w:tc>
          <w:tcPr>
            <w:tcW w:w="337" w:type="pct"/>
            <w:vAlign w:val="center"/>
          </w:tcPr>
          <w:p w14:paraId="1542820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noWrap/>
            <w:vAlign w:val="center"/>
          </w:tcPr>
          <w:p w14:paraId="3382604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BB3ECD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3092C42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97C25A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ABC1E9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DEECB9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D0645E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4B5E45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106145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1147C1B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08DFA7F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668E163A" w14:textId="77777777" w:rsidTr="00BD002E">
        <w:trPr>
          <w:trHeight w:val="20"/>
        </w:trPr>
        <w:tc>
          <w:tcPr>
            <w:tcW w:w="717" w:type="pct"/>
            <w:noWrap/>
            <w:vAlign w:val="center"/>
          </w:tcPr>
          <w:p w14:paraId="01ADF61C"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Tabatabaei et al. </w:t>
            </w:r>
          </w:p>
        </w:tc>
        <w:tc>
          <w:tcPr>
            <w:tcW w:w="337" w:type="pct"/>
            <w:vAlign w:val="center"/>
          </w:tcPr>
          <w:p w14:paraId="09C735F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3A6D00A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02BE9D3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65A2050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3A779F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AFDFD5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CEC2CC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B7E76A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D9BC76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C3CA9B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4E484E7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6</w:t>
            </w:r>
          </w:p>
        </w:tc>
        <w:tc>
          <w:tcPr>
            <w:tcW w:w="440" w:type="pct"/>
            <w:vAlign w:val="center"/>
          </w:tcPr>
          <w:p w14:paraId="46F600E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High</w:t>
            </w:r>
          </w:p>
        </w:tc>
      </w:tr>
      <w:tr w:rsidR="00BD002E" w:rsidRPr="003A24E5" w14:paraId="0648FA49" w14:textId="77777777" w:rsidTr="00BD002E">
        <w:trPr>
          <w:trHeight w:val="20"/>
        </w:trPr>
        <w:tc>
          <w:tcPr>
            <w:tcW w:w="717" w:type="pct"/>
            <w:noWrap/>
            <w:vAlign w:val="center"/>
          </w:tcPr>
          <w:p w14:paraId="73F7AD9F"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Trinkmann et al. </w:t>
            </w:r>
          </w:p>
        </w:tc>
        <w:tc>
          <w:tcPr>
            <w:tcW w:w="337" w:type="pct"/>
            <w:vAlign w:val="center"/>
          </w:tcPr>
          <w:p w14:paraId="7FCCA4F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68E0BF3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115739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EFFEE9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B714AC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44DD2F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8A3031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0B9FCB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A1FF7C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7707EB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51B9A63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6</w:t>
            </w:r>
          </w:p>
        </w:tc>
        <w:tc>
          <w:tcPr>
            <w:tcW w:w="440" w:type="pct"/>
            <w:vAlign w:val="center"/>
          </w:tcPr>
          <w:p w14:paraId="5A2987B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High</w:t>
            </w:r>
          </w:p>
        </w:tc>
      </w:tr>
      <w:tr w:rsidR="00BD002E" w:rsidRPr="003A24E5" w14:paraId="1E1D4CEF" w14:textId="77777777" w:rsidTr="00BD002E">
        <w:trPr>
          <w:trHeight w:val="20"/>
        </w:trPr>
        <w:tc>
          <w:tcPr>
            <w:tcW w:w="717" w:type="pct"/>
            <w:noWrap/>
            <w:vAlign w:val="center"/>
          </w:tcPr>
          <w:p w14:paraId="38B684D5"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van den Borst et al. </w:t>
            </w:r>
          </w:p>
        </w:tc>
        <w:tc>
          <w:tcPr>
            <w:tcW w:w="337" w:type="pct"/>
            <w:vAlign w:val="center"/>
          </w:tcPr>
          <w:p w14:paraId="4D12AFB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60EB5B7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01FC9B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E8ACFF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E58358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90B5CB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3F14B1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ADADDC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97A805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B9994A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4DE8430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6260294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3BBA2BAA" w14:textId="77777777" w:rsidTr="00BD002E">
        <w:trPr>
          <w:trHeight w:val="20"/>
        </w:trPr>
        <w:tc>
          <w:tcPr>
            <w:tcW w:w="717" w:type="pct"/>
            <w:noWrap/>
            <w:vAlign w:val="center"/>
          </w:tcPr>
          <w:p w14:paraId="651D3E1F"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van der Sar et al. </w:t>
            </w:r>
          </w:p>
        </w:tc>
        <w:tc>
          <w:tcPr>
            <w:tcW w:w="337" w:type="pct"/>
            <w:vAlign w:val="center"/>
          </w:tcPr>
          <w:p w14:paraId="2DE5082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67762D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6D16B5C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1B497D6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D5D6D20"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4305D1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E70D80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A1BA09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0EC8ED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6E3144C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732811E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6</w:t>
            </w:r>
          </w:p>
        </w:tc>
        <w:tc>
          <w:tcPr>
            <w:tcW w:w="440" w:type="pct"/>
            <w:vAlign w:val="center"/>
          </w:tcPr>
          <w:p w14:paraId="6343D11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High</w:t>
            </w:r>
          </w:p>
        </w:tc>
      </w:tr>
      <w:tr w:rsidR="00BD002E" w:rsidRPr="003A24E5" w14:paraId="5FAF7147" w14:textId="77777777" w:rsidTr="00BD002E">
        <w:trPr>
          <w:trHeight w:val="20"/>
        </w:trPr>
        <w:tc>
          <w:tcPr>
            <w:tcW w:w="717" w:type="pct"/>
            <w:noWrap/>
            <w:vAlign w:val="center"/>
          </w:tcPr>
          <w:p w14:paraId="7029E256"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Venturelli et al. </w:t>
            </w:r>
          </w:p>
        </w:tc>
        <w:tc>
          <w:tcPr>
            <w:tcW w:w="337" w:type="pct"/>
            <w:vAlign w:val="center"/>
          </w:tcPr>
          <w:p w14:paraId="11DCE55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625639C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20F4647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ABEC76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3F58227"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C8EFF0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4DAF98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FA464A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0B6FB3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76D059E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3216B6FC"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7</w:t>
            </w:r>
          </w:p>
        </w:tc>
        <w:tc>
          <w:tcPr>
            <w:tcW w:w="440" w:type="pct"/>
            <w:vAlign w:val="center"/>
          </w:tcPr>
          <w:p w14:paraId="2C76ABF4"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Moderate</w:t>
            </w:r>
          </w:p>
        </w:tc>
      </w:tr>
      <w:tr w:rsidR="00BD002E" w:rsidRPr="003A24E5" w14:paraId="7882D67F" w14:textId="77777777" w:rsidTr="00BD002E">
        <w:trPr>
          <w:trHeight w:val="20"/>
        </w:trPr>
        <w:tc>
          <w:tcPr>
            <w:tcW w:w="717" w:type="pct"/>
            <w:noWrap/>
            <w:vAlign w:val="center"/>
          </w:tcPr>
          <w:p w14:paraId="68998F20"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Yang et al. </w:t>
            </w:r>
          </w:p>
        </w:tc>
        <w:tc>
          <w:tcPr>
            <w:tcW w:w="337" w:type="pct"/>
            <w:vAlign w:val="center"/>
          </w:tcPr>
          <w:p w14:paraId="6614B2C3"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noWrap/>
            <w:vAlign w:val="center"/>
          </w:tcPr>
          <w:p w14:paraId="431AD18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6E44CED"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2F68251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963F37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A7F1B3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9437BF9"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CF7D06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A01F9AB"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18D40C8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19F291F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09D62CD6"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r w:rsidR="00BD002E" w:rsidRPr="003A24E5" w14:paraId="1F05E189" w14:textId="77777777" w:rsidTr="00BD002E">
        <w:trPr>
          <w:trHeight w:val="20"/>
        </w:trPr>
        <w:tc>
          <w:tcPr>
            <w:tcW w:w="717" w:type="pct"/>
            <w:noWrap/>
            <w:vAlign w:val="center"/>
          </w:tcPr>
          <w:p w14:paraId="4E6BAE49" w14:textId="77777777" w:rsidR="00BD002E" w:rsidRPr="003A24E5" w:rsidRDefault="00BD002E" w:rsidP="00F22EB5">
            <w:pPr>
              <w:widowControl/>
              <w:wordWrap/>
              <w:autoSpaceDE/>
              <w:autoSpaceDN/>
              <w:spacing w:line="360" w:lineRule="auto"/>
              <w:jc w:val="left"/>
              <w:rPr>
                <w:rFonts w:ascii="Times New Roman" w:eastAsia="맑은 고딕" w:hAnsi="Times New Roman" w:cs="Times New Roman"/>
                <w:color w:val="000000"/>
                <w:szCs w:val="20"/>
              </w:rPr>
            </w:pPr>
            <w:r w:rsidRPr="003A24E5">
              <w:rPr>
                <w:rFonts w:ascii="Times New Roman" w:eastAsia="맑은 고딕" w:hAnsi="Times New Roman" w:cs="Times New Roman"/>
                <w:color w:val="000000"/>
                <w:szCs w:val="20"/>
              </w:rPr>
              <w:t xml:space="preserve">Zhao et al. </w:t>
            </w:r>
          </w:p>
        </w:tc>
        <w:tc>
          <w:tcPr>
            <w:tcW w:w="337" w:type="pct"/>
            <w:vAlign w:val="center"/>
          </w:tcPr>
          <w:p w14:paraId="140A12F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noWrap/>
            <w:vAlign w:val="center"/>
          </w:tcPr>
          <w:p w14:paraId="61857B0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8CD55FE"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N</w:t>
            </w:r>
          </w:p>
        </w:tc>
        <w:tc>
          <w:tcPr>
            <w:tcW w:w="336" w:type="pct"/>
            <w:vAlign w:val="center"/>
          </w:tcPr>
          <w:p w14:paraId="5868CFA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47F4415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007AAAFA"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7CFDF788"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360E1DE2"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569D47AF"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336" w:type="pct"/>
            <w:vAlign w:val="center"/>
          </w:tcPr>
          <w:p w14:paraId="6AD3E395"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Y</w:t>
            </w:r>
          </w:p>
        </w:tc>
        <w:tc>
          <w:tcPr>
            <w:tcW w:w="481" w:type="pct"/>
            <w:vAlign w:val="center"/>
          </w:tcPr>
          <w:p w14:paraId="5DCEB14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8</w:t>
            </w:r>
          </w:p>
        </w:tc>
        <w:tc>
          <w:tcPr>
            <w:tcW w:w="440" w:type="pct"/>
            <w:vAlign w:val="center"/>
          </w:tcPr>
          <w:p w14:paraId="5D72FAA1" w14:textId="77777777" w:rsidR="00BD002E" w:rsidRPr="003A24E5" w:rsidRDefault="00BD002E" w:rsidP="00F22EB5">
            <w:pPr>
              <w:spacing w:line="360" w:lineRule="auto"/>
              <w:jc w:val="center"/>
              <w:rPr>
                <w:rFonts w:ascii="Times New Roman" w:hAnsi="Times New Roman" w:cs="Times New Roman"/>
                <w:szCs w:val="20"/>
              </w:rPr>
            </w:pPr>
            <w:r>
              <w:rPr>
                <w:rFonts w:ascii="Times New Roman" w:hAnsi="Times New Roman" w:cs="Times New Roman" w:hint="eastAsia"/>
                <w:szCs w:val="20"/>
              </w:rPr>
              <w:t>Low</w:t>
            </w:r>
          </w:p>
        </w:tc>
      </w:tr>
    </w:tbl>
    <w:p w14:paraId="5311C8E7" w14:textId="5ADD5E2B" w:rsidR="004C21D2" w:rsidRPr="00BD002E" w:rsidRDefault="004C21D2" w:rsidP="00F22EB5">
      <w:pPr>
        <w:widowControl/>
        <w:wordWrap/>
        <w:autoSpaceDE/>
        <w:autoSpaceDN/>
        <w:spacing w:line="360" w:lineRule="auto"/>
      </w:pPr>
    </w:p>
    <w:sectPr w:rsidR="004C21D2" w:rsidRPr="00BD002E" w:rsidSect="00BD002E">
      <w:pgSz w:w="16838" w:h="11906" w:orient="landscape"/>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3FA4B" w14:textId="77777777" w:rsidR="00E42970" w:rsidRDefault="00E42970">
      <w:pPr>
        <w:spacing w:after="0" w:line="240" w:lineRule="auto"/>
      </w:pPr>
      <w:r>
        <w:separator/>
      </w:r>
    </w:p>
  </w:endnote>
  <w:endnote w:type="continuationSeparator" w:id="0">
    <w:p w14:paraId="405F5AFA" w14:textId="77777777" w:rsidR="00E42970" w:rsidRDefault="00E42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678639"/>
      <w:docPartObj>
        <w:docPartGallery w:val="Page Numbers (Bottom of Page)"/>
        <w:docPartUnique/>
      </w:docPartObj>
    </w:sdtPr>
    <w:sdtEndPr/>
    <w:sdtContent>
      <w:p w14:paraId="03829B0E" w14:textId="77777777" w:rsidR="00FE1192" w:rsidRDefault="00FE1192">
        <w:pPr>
          <w:pStyle w:val="a3"/>
          <w:jc w:val="center"/>
        </w:pPr>
        <w:r>
          <w:fldChar w:fldCharType="begin"/>
        </w:r>
        <w:r>
          <w:instrText>PAGE   \* MERGEFORMAT</w:instrText>
        </w:r>
        <w:r>
          <w:fldChar w:fldCharType="separate"/>
        </w:r>
        <w:r w:rsidR="00BD002E" w:rsidRPr="00BD002E">
          <w:rPr>
            <w:noProof/>
            <w:lang w:val="ko-KR"/>
          </w:rPr>
          <w:t>9</w:t>
        </w:r>
        <w:r>
          <w:fldChar w:fldCharType="end"/>
        </w:r>
      </w:p>
    </w:sdtContent>
  </w:sdt>
  <w:p w14:paraId="448318CA" w14:textId="77777777" w:rsidR="00FE1192" w:rsidRDefault="00FE119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4A7B0" w14:textId="77777777" w:rsidR="00E42970" w:rsidRDefault="00E42970">
      <w:pPr>
        <w:spacing w:after="0" w:line="240" w:lineRule="auto"/>
      </w:pPr>
      <w:r>
        <w:separator/>
      </w:r>
    </w:p>
  </w:footnote>
  <w:footnote w:type="continuationSeparator" w:id="0">
    <w:p w14:paraId="6E2AB000" w14:textId="77777777" w:rsidR="00E42970" w:rsidRDefault="00E429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0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92"/>
    <w:rsid w:val="002C580F"/>
    <w:rsid w:val="002F14FB"/>
    <w:rsid w:val="004C21D2"/>
    <w:rsid w:val="00563BE4"/>
    <w:rsid w:val="005D3A28"/>
    <w:rsid w:val="00667579"/>
    <w:rsid w:val="008258F0"/>
    <w:rsid w:val="008E182E"/>
    <w:rsid w:val="00907BC5"/>
    <w:rsid w:val="00920A9A"/>
    <w:rsid w:val="00B7783C"/>
    <w:rsid w:val="00BD002E"/>
    <w:rsid w:val="00C260D9"/>
    <w:rsid w:val="00C464DE"/>
    <w:rsid w:val="00C73DFF"/>
    <w:rsid w:val="00CA5D16"/>
    <w:rsid w:val="00DA5182"/>
    <w:rsid w:val="00DB06DD"/>
    <w:rsid w:val="00E42970"/>
    <w:rsid w:val="00E5707C"/>
    <w:rsid w:val="00F22EB5"/>
    <w:rsid w:val="00FD549E"/>
    <w:rsid w:val="00FE119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F3C17E"/>
  <w15:docId w15:val="{6F0BF60B-A76B-43D1-81B1-D640ACE3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E1192"/>
    <w:pPr>
      <w:tabs>
        <w:tab w:val="center" w:pos="4513"/>
        <w:tab w:val="right" w:pos="9026"/>
      </w:tabs>
      <w:snapToGrid w:val="0"/>
      <w:spacing w:after="200" w:line="276" w:lineRule="auto"/>
    </w:pPr>
  </w:style>
  <w:style w:type="character" w:customStyle="1" w:styleId="Char">
    <w:name w:val="바닥글 Char"/>
    <w:basedOn w:val="a0"/>
    <w:link w:val="a3"/>
    <w:uiPriority w:val="99"/>
    <w:rsid w:val="00FE1192"/>
  </w:style>
  <w:style w:type="paragraph" w:styleId="a4">
    <w:name w:val="header"/>
    <w:basedOn w:val="a"/>
    <w:link w:val="Char0"/>
    <w:uiPriority w:val="99"/>
    <w:unhideWhenUsed/>
    <w:rsid w:val="00BD002E"/>
    <w:pPr>
      <w:tabs>
        <w:tab w:val="center" w:pos="4513"/>
        <w:tab w:val="right" w:pos="9026"/>
      </w:tabs>
      <w:snapToGrid w:val="0"/>
    </w:pPr>
  </w:style>
  <w:style w:type="character" w:customStyle="1" w:styleId="Char0">
    <w:name w:val="머리글 Char"/>
    <w:basedOn w:val="a0"/>
    <w:link w:val="a4"/>
    <w:uiPriority w:val="99"/>
    <w:rsid w:val="00BD002E"/>
  </w:style>
  <w:style w:type="table" w:styleId="a5">
    <w:name w:val="Table Grid"/>
    <w:basedOn w:val="a1"/>
    <w:uiPriority w:val="39"/>
    <w:rsid w:val="00BD002E"/>
    <w:pPr>
      <w:widowControl w:val="0"/>
      <w:wordWrap w:val="0"/>
      <w:autoSpaceDE w:val="0"/>
      <w:autoSpaceDN w:val="0"/>
      <w:spacing w:after="0" w:line="240" w:lineRule="auto"/>
    </w:pPr>
    <w:rPr>
      <w:rFonts w:ascii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E182E"/>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15</Pages>
  <Words>1897</Words>
  <Characters>10816</Characters>
  <Application>Microsoft Office Word</Application>
  <DocSecurity>0</DocSecurity>
  <Lines>90</Lines>
  <Paragraphs>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 지명</dc:creator>
  <cp:keywords/>
  <dc:description/>
  <cp:lastModifiedBy>지명 박</cp:lastModifiedBy>
  <cp:revision>10</cp:revision>
  <dcterms:created xsi:type="dcterms:W3CDTF">2021-04-15T02:01:00Z</dcterms:created>
  <dcterms:modified xsi:type="dcterms:W3CDTF">2021-11-17T13:44:00Z</dcterms:modified>
</cp:coreProperties>
</file>