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Times New Roman" w:hAnsi="Times New Roman" w:eastAsia="Times New Roman" w:cs="Times New Roman"/>
          <w:b/>
          <w:sz w:val="30"/>
        </w:rPr>
        <w:t>Supplementary Material</w:t>
      </w:r>
    </w:p>
    <w:p>
      <w:pPr>
        <w:spacing w:line="360" w:lineRule="auto" w:before="0" w:after="0"/>
        <w:jc w:val="center"/>
      </w:pPr>
      <w:r>
        <w:rPr>
          <w:rFonts w:ascii="Times New Roman" w:hAnsi="Times New Roman" w:eastAsia="Times New Roman" w:cs="Times New Roman"/>
          <w:b/>
          <w:sz w:val="24"/>
        </w:rPr>
        <w:t>Periventricular diffusivity modifies plasma pTau217 associations with brain pathology</w:t>
      </w:r>
    </w:p>
    <w:p>
      <w:pPr>
        <w:spacing w:line="360" w:lineRule="auto" w:before="0" w:after="0"/>
        <w:jc w:val="both"/>
      </w:pPr>
      <w:r>
        <w:rPr>
          <w:rFonts w:ascii="Times New Roman" w:hAnsi="Times New Roman" w:eastAsia="Times New Roman" w:cs="Times New Roman"/>
          <w:sz w:val="24"/>
        </w:rPr>
        <w:t>Rui Bao, Shiqi Zhang, Huan He, for the Alzheimer's Disease Neuroimaging Initiative, The Health and Aging Brain Study (HABS-HD) Study Team, Weibo Cheng, Tonghua Zhang, and Wencai Ding</w:t>
      </w:r>
    </w:p>
    <w:p>
      <w:pPr>
        <w:spacing w:line="360" w:lineRule="auto" w:before="0" w:after="0"/>
        <w:jc w:val="both"/>
      </w:pPr>
      <w:r>
        <w:rPr>
          <w:rFonts w:ascii="Times New Roman" w:hAnsi="Times New Roman" w:eastAsia="Times New Roman" w:cs="Times New Roman"/>
          <w:i/>
          <w:sz w:val="24"/>
        </w:rPr>
        <w:t>Reference numbers correspond to the bibliography of the main manuscript.</w:t>
      </w:r>
    </w:p>
    <w:p>
      <w:pPr>
        <w:pStyle w:val="Heading1"/>
        <w:spacing w:line="360" w:lineRule="auto" w:before="0" w:after="0"/>
        <w:jc w:val="both"/>
      </w:pPr>
      <w:r>
        <w:rPr>
          <w:rFonts w:ascii="Times New Roman" w:hAnsi="Times New Roman" w:eastAsia="Times New Roman" w:cs="Times New Roman"/>
          <w:b/>
          <w:sz w:val="28"/>
        </w:rPr>
        <w:t>Contents</w:t>
      </w:r>
    </w:p>
    <w:p>
      <w:pPr>
        <w:spacing w:after="0" w:line="360" w:lineRule="auto" w:before="0"/>
        <w:ind w:left="0"/>
        <w:jc w:val="both"/>
      </w:pPr>
      <w:r>
        <w:rPr>
          <w:rFonts w:ascii="Times New Roman" w:hAnsi="Times New Roman" w:eastAsia="Times New Roman" w:cs="Times New Roman"/>
          <w:b/>
          <w:sz w:val="24"/>
        </w:rPr>
        <w:t>Supplementary Methods</w:t>
      </w:r>
    </w:p>
    <w:p>
      <w:pPr>
        <w:spacing w:after="0" w:line="360" w:lineRule="auto" w:before="0"/>
        <w:ind w:left="259"/>
        <w:jc w:val="both"/>
      </w:pPr>
      <w:r>
        <w:rPr>
          <w:rFonts w:ascii="Times New Roman" w:hAnsi="Times New Roman" w:eastAsia="Times New Roman" w:cs="Times New Roman"/>
          <w:b w:val="0"/>
          <w:sz w:val="24"/>
        </w:rPr>
        <w:t>Cohort construction and temporal anchoring</w:t>
      </w:r>
    </w:p>
    <w:p>
      <w:pPr>
        <w:spacing w:after="0" w:line="360" w:lineRule="auto" w:before="0"/>
        <w:ind w:left="259"/>
        <w:jc w:val="both"/>
      </w:pPr>
      <w:r>
        <w:rPr>
          <w:rFonts w:ascii="Times New Roman" w:hAnsi="Times New Roman" w:eastAsia="Times New Roman" w:cs="Times New Roman"/>
          <w:b w:val="0"/>
          <w:sz w:val="24"/>
        </w:rPr>
        <w:t>Diffusion MRI processing, PVeD calculation, and quality control</w:t>
      </w:r>
    </w:p>
    <w:p>
      <w:pPr>
        <w:spacing w:after="0" w:line="360" w:lineRule="auto" w:before="0"/>
        <w:ind w:left="259"/>
        <w:jc w:val="both"/>
      </w:pPr>
      <w:r>
        <w:rPr>
          <w:rFonts w:ascii="Times New Roman" w:hAnsi="Times New Roman" w:eastAsia="Times New Roman" w:cs="Times New Roman"/>
          <w:b w:val="0"/>
          <w:sz w:val="24"/>
        </w:rPr>
        <w:t>Plasma biomarkers, imaging, and cognitive outcomes</w:t>
      </w:r>
    </w:p>
    <w:p>
      <w:pPr>
        <w:spacing w:after="0" w:line="360" w:lineRule="auto" w:before="0"/>
        <w:ind w:left="259"/>
        <w:jc w:val="both"/>
      </w:pPr>
      <w:r>
        <w:rPr>
          <w:rFonts w:ascii="Times New Roman" w:hAnsi="Times New Roman" w:eastAsia="Times New Roman" w:cs="Times New Roman"/>
          <w:b w:val="0"/>
          <w:sz w:val="24"/>
        </w:rPr>
        <w:t>Statistical analysis and reproducibility</w:t>
      </w:r>
    </w:p>
    <w:p>
      <w:pPr>
        <w:spacing w:after="0" w:line="360" w:lineRule="auto" w:before="0"/>
        <w:ind w:left="0"/>
        <w:jc w:val="both"/>
      </w:pPr>
      <w:r>
        <w:rPr>
          <w:rFonts w:ascii="Times New Roman" w:hAnsi="Times New Roman" w:eastAsia="Times New Roman" w:cs="Times New Roman"/>
          <w:b/>
          <w:sz w:val="24"/>
        </w:rPr>
        <w:t>Supplementary Results</w:t>
      </w:r>
    </w:p>
    <w:p>
      <w:pPr>
        <w:spacing w:after="0" w:line="360" w:lineRule="auto" w:before="0"/>
        <w:ind w:left="259"/>
        <w:jc w:val="both"/>
      </w:pPr>
      <w:r>
        <w:rPr>
          <w:rFonts w:ascii="Times New Roman" w:hAnsi="Times New Roman" w:eastAsia="Times New Roman" w:cs="Times New Roman"/>
          <w:b w:val="0"/>
          <w:sz w:val="24"/>
        </w:rPr>
        <w:t>Cohort availability and profile characteristics</w:t>
      </w:r>
    </w:p>
    <w:p>
      <w:pPr>
        <w:spacing w:after="0" w:line="360" w:lineRule="auto" w:before="0"/>
        <w:ind w:left="259"/>
        <w:jc w:val="both"/>
      </w:pPr>
      <w:r>
        <w:rPr>
          <w:rFonts w:ascii="Times New Roman" w:hAnsi="Times New Roman" w:eastAsia="Times New Roman" w:cs="Times New Roman"/>
          <w:b w:val="0"/>
          <w:sz w:val="24"/>
        </w:rPr>
        <w:t>ADNI sensitivity, subgroup, threshold, and acquisition analyses</w:t>
      </w:r>
    </w:p>
    <w:p>
      <w:pPr>
        <w:spacing w:after="0" w:line="360" w:lineRule="auto" w:before="0"/>
        <w:ind w:left="259"/>
        <w:jc w:val="both"/>
      </w:pPr>
      <w:r>
        <w:rPr>
          <w:rFonts w:ascii="Times New Roman" w:hAnsi="Times New Roman" w:eastAsia="Times New Roman" w:cs="Times New Roman"/>
          <w:b w:val="0"/>
          <w:sz w:val="24"/>
        </w:rPr>
        <w:t>Longitudinal model audit and incremental model value</w:t>
      </w:r>
    </w:p>
    <w:p>
      <w:pPr>
        <w:spacing w:after="0" w:line="360" w:lineRule="auto" w:before="0"/>
        <w:ind w:left="259"/>
        <w:jc w:val="both"/>
      </w:pPr>
      <w:r>
        <w:rPr>
          <w:rFonts w:ascii="Times New Roman" w:hAnsi="Times New Roman" w:eastAsia="Times New Roman" w:cs="Times New Roman"/>
          <w:b w:val="0"/>
          <w:sz w:val="24"/>
        </w:rPr>
        <w:t>HABS-HD temporal alignment, cognitive extension, and specificity analyses</w:t>
      </w:r>
    </w:p>
    <w:p>
      <w:pPr>
        <w:spacing w:after="0" w:line="360" w:lineRule="auto" w:before="0"/>
        <w:ind w:left="0"/>
        <w:jc w:val="both"/>
      </w:pPr>
      <w:r>
        <w:rPr>
          <w:rFonts w:ascii="Times New Roman" w:hAnsi="Times New Roman" w:eastAsia="Times New Roman" w:cs="Times New Roman"/>
          <w:b/>
          <w:sz w:val="24"/>
        </w:rPr>
        <w:t>Supplementary Tables S1–S12</w:t>
      </w:r>
    </w:p>
    <w:p>
      <w:pPr>
        <w:spacing w:after="0" w:line="360" w:lineRule="auto" w:before="0"/>
        <w:ind w:left="0"/>
        <w:jc w:val="both"/>
      </w:pPr>
      <w:r>
        <w:rPr>
          <w:rFonts w:ascii="Times New Roman" w:hAnsi="Times New Roman" w:eastAsia="Times New Roman" w:cs="Times New Roman"/>
          <w:b/>
          <w:sz w:val="24"/>
        </w:rPr>
        <w:t>Supplementary Figure S1</w:t>
      </w:r>
    </w:p>
    <w:p>
      <w:pPr>
        <w:spacing w:line="360" w:lineRule="auto" w:before="0" w:after="0"/>
        <w:jc w:val="both"/>
      </w:pPr>
      <w:r>
        <w:rPr>
          <w:rFonts w:ascii="Times New Roman" w:hAnsi="Times New Roman" w:eastAsia="Times New Roman" w:cs="Times New Roman"/>
          <w:sz w:val="24"/>
        </w:rPr>
        <w:br w:type="page"/>
      </w:r>
    </w:p>
    <w:p>
      <w:pPr>
        <w:pStyle w:val="Heading1"/>
        <w:spacing w:line="360" w:lineRule="auto" w:before="0" w:after="0"/>
        <w:jc w:val="both"/>
      </w:pPr>
      <w:r>
        <w:rPr>
          <w:rFonts w:ascii="Times New Roman" w:hAnsi="Times New Roman" w:eastAsia="Times New Roman" w:cs="Times New Roman"/>
          <w:b/>
          <w:sz w:val="28"/>
        </w:rPr>
        <w:t>Supplementary Methods</w:t>
      </w:r>
    </w:p>
    <w:p>
      <w:pPr>
        <w:pStyle w:val="Heading2"/>
        <w:spacing w:line="360" w:lineRule="auto" w:before="0" w:after="0"/>
        <w:jc w:val="both"/>
      </w:pPr>
      <w:r>
        <w:rPr>
          <w:rFonts w:ascii="Times New Roman" w:hAnsi="Times New Roman" w:eastAsia="Times New Roman" w:cs="Times New Roman"/>
          <w:b/>
          <w:sz w:val="28"/>
        </w:rPr>
        <w:t>Cohort construction and temporal anchoring</w:t>
      </w:r>
    </w:p>
    <w:p>
      <w:pPr>
        <w:spacing w:line="360" w:lineRule="auto" w:after="0" w:before="0"/>
        <w:ind w:firstLine="360"/>
        <w:jc w:val="both"/>
      </w:pPr>
      <w:r>
        <w:rPr>
          <w:rFonts w:ascii="Times New Roman" w:hAnsi="Times New Roman" w:eastAsia="Times New Roman" w:cs="Times New Roman"/>
          <w:sz w:val="24"/>
        </w:rPr>
        <w:t xml:space="preserve">The study used two independent observational cohorts. ADNI was the discovery cohort, and HABS-HD was the external validation cohort. Analyses were conducted separately by cohort and participant-level data were not pooled. ADNI participants were eligible when PVeD, plasma pTau217, age, sex, and education were available; the primary cohort included 602 participants. HABS-HD participants were eligible for profile construction when PVeD and plasma pTau217 were available, yielding 2313 participants. Endpoint-specific samples were defined by outcome and covariate availability. Clinical diagnosis was retained for descriptive cohort characterization and was not included as a model covariate.</w:t>
      </w:r>
    </w:p>
    <w:p>
      <w:pPr>
        <w:spacing w:line="360" w:lineRule="auto" w:after="0" w:before="0"/>
        <w:ind w:firstLine="360"/>
        <w:jc w:val="both"/>
      </w:pPr>
      <w:r>
        <w:rPr>
          <w:rFonts w:ascii="Times New Roman" w:hAnsi="Times New Roman" w:eastAsia="Times New Roman" w:cs="Times New Roman"/>
          <w:sz w:val="24"/>
        </w:rPr>
        <w:t xml:space="preserve">The all-available HABS-HD sample was the primary validation analysis. Temporal-alignment analyses required both plasma pTau217 and the relevant PET or cognitive measurement to fall within ±24 months of the PVeD MRI date. ADNI phase and DTI protocol description were evaluated in sensitivity models because acquisition varied across ADNI phases. No imputation was performed for the primary interaction analyses.</w:t>
      </w:r>
    </w:p>
    <w:p>
      <w:pPr>
        <w:pStyle w:val="Heading2"/>
        <w:spacing w:line="360" w:lineRule="auto" w:before="0" w:after="0"/>
        <w:jc w:val="both"/>
      </w:pPr>
      <w:r>
        <w:rPr>
          <w:rFonts w:ascii="Times New Roman" w:hAnsi="Times New Roman" w:eastAsia="Times New Roman" w:cs="Times New Roman"/>
          <w:b/>
          <w:sz w:val="28"/>
        </w:rPr>
        <w:t>Diffusion MRI processing, PVeD calculation, and quality control</w:t>
      </w:r>
    </w:p>
    <w:p>
      <w:pPr>
        <w:spacing w:line="360" w:lineRule="auto" w:after="0" w:before="0"/>
        <w:ind w:firstLine="360"/>
        <w:jc w:val="both"/>
      </w:pPr>
      <w:r>
        <w:rPr>
          <w:rFonts w:ascii="Times New Roman" w:hAnsi="Times New Roman" w:eastAsia="Times New Roman" w:cs="Times New Roman"/>
          <w:sz w:val="24"/>
        </w:rPr>
        <w:t>PVeD was generated using the automated workflow described by Chen and colleagues [15]. This method is distinct from region-of-interest-based DTI-ALPS. Diffusion-weighted images were processed in DSI Studio using the source workflow build dated March 18, 2023. Susceptibility distortion correction used Synthesized b0 for Diffusion Distortion Correction (Synb0-DISCO), which generated an undistorted b = 0 image from the T1-weighted image and paired it with the acquired distorted b = 0 image for TOPUP correction [20]. Eddy-current and motion correction was performed with EDDY [21, 22]. Corrected images were reconstructed to ICBM152 standard space using q-space diffeomorphic reconstruction [23].</w:t>
      </w:r>
    </w:p>
    <w:p>
      <w:pPr>
        <w:spacing w:line="360" w:lineRule="auto" w:after="0" w:before="0"/>
        <w:ind w:firstLine="360"/>
        <w:jc w:val="both"/>
      </w:pPr>
      <w:r>
        <w:rPr>
          <w:rFonts w:ascii="Times New Roman" w:hAnsi="Times New Roman" w:eastAsia="Times New Roman" w:cs="Times New Roman"/>
          <w:sz w:val="24"/>
        </w:rPr>
        <w:t>The b-table orientation was verified against a population-averaged template. Diffusion-tensor measures were estimated from volumes with b values of 1000 s/mm² or lower using a diffusion sampling length ratio of 1.25 and 2-mm isotropic output resolution. Mean diffusivity and axis-specific tensor components in the left-right, anterior-posterior, and inferior-superior directions (Dxx, Dyy, and Dzz) were retained. The transverse tensor ratio was calculated voxel-wise as Dxx/(Dxx + Dyy + Dzz), expressing the transverse component relative to the three orthogonal components.</w:t>
      </w:r>
    </w:p>
    <w:p>
      <w:pPr>
        <w:spacing w:line="360" w:lineRule="auto" w:after="0" w:before="0"/>
        <w:ind w:firstLine="360"/>
        <w:jc w:val="both"/>
      </w:pPr>
      <w:r>
        <w:rPr>
          <w:rFonts w:ascii="Times New Roman" w:hAnsi="Times New Roman" w:eastAsia="Times New Roman" w:cs="Times New Roman"/>
          <w:sz w:val="24"/>
        </w:rPr>
        <w:t>A white-matter mask was derived from the mean-diffusivity image. A predefined lateral-ventricle mask was registered to each participant, and anatomically constrained region growing along the transverse axis generated the initial periventricular area. Expansion was maximal around the ventricular body and progressively reduced toward the ventricular margins. Intersecting this area with the white-matter mask produced the final periventricular white-matter region. Left and right PVeD values were median transverse tensor ratios within the corresponding regions. Total PVeD, the prespecified primary measure, was the median within the combined bilateral region and was not calculated as the arithmetic mean of the hemispheric summaries [15].</w:t>
      </w:r>
    </w:p>
    <w:p>
      <w:pPr>
        <w:spacing w:line="360" w:lineRule="auto" w:after="0" w:before="0"/>
        <w:ind w:firstLine="360"/>
        <w:jc w:val="both"/>
      </w:pPr>
      <w:r>
        <w:rPr>
          <w:rFonts w:ascii="Times New Roman" w:hAnsi="Times New Roman" w:eastAsia="Times New Roman" w:cs="Times New Roman"/>
          <w:sz w:val="24"/>
        </w:rPr>
        <w:t>Reconstructions were screened for low signal-to-noise ratio, poor spatial-neighbour correlation, failed susceptibility or motion correction, visible artefacts, and low spatial consistency with the template. Only values passing source-pipeline quality control were retained. Left and right values and available quality indices were reviewed for technical adequacy; total PVeD was used in primary models. PVeD was interpreted as an MRI-derived measure of the local periventricular diffusion microenvironment rather than a direct measurement of glymphatic flow.</w:t>
      </w:r>
    </w:p>
    <w:p>
      <w:pPr>
        <w:pStyle w:val="Heading2"/>
        <w:spacing w:line="360" w:lineRule="auto" w:before="0" w:after="0"/>
        <w:jc w:val="both"/>
      </w:pPr>
      <w:r>
        <w:rPr>
          <w:rFonts w:ascii="Times New Roman" w:hAnsi="Times New Roman" w:eastAsia="Times New Roman" w:cs="Times New Roman"/>
          <w:b/>
          <w:sz w:val="28"/>
        </w:rPr>
        <w:t>Plasma biomarkers, imaging, and cognitive outcomes</w:t>
      </w:r>
    </w:p>
    <w:p>
      <w:pPr>
        <w:spacing w:line="360" w:lineRule="auto" w:after="0" w:before="0"/>
        <w:ind w:firstLine="360"/>
        <w:jc w:val="both"/>
      </w:pPr>
      <w:r>
        <w:rPr>
          <w:rFonts w:ascii="Times New Roman" w:hAnsi="Times New Roman" w:eastAsia="Times New Roman" w:cs="Times New Roman"/>
          <w:sz w:val="24"/>
        </w:rPr>
        <w:t>ADNI plasma pTau217 was measured using the automated Lumipulse platform; values designated invalid or unavailable because of insufficient sample volume were treated as missing [24]. In HABS-HD, the released Quanterix Simoa pTau217 measure with the broadest coverage was selected a priori as the primary validation biomarker, and an additional pTau217 measure was used in assay-sensitivity analyses [25]. Positive concentrations were log10-transformed and standardized within cohort and assay before modelling; non-positive values were excluded from analyses requiring logarithmic transformation.</w:t>
      </w:r>
    </w:p>
    <w:p>
      <w:pPr>
        <w:spacing w:line="360" w:lineRule="auto" w:after="0" w:before="0"/>
        <w:ind w:firstLine="360"/>
        <w:jc w:val="both"/>
      </w:pPr>
      <w:r>
        <w:rPr>
          <w:rFonts w:ascii="Times New Roman" w:hAnsi="Times New Roman" w:eastAsia="Times New Roman" w:cs="Times New Roman"/>
          <w:sz w:val="24"/>
        </w:rPr>
        <w:t>Primary pathology outcomes were amyloid and tau PET measures. ADNI outcomes included amyloid Centiloid and SUVR, meta-temporal tau SUVR, and prespecified regional tau SUVR measures. HABS-HD outcomes included florbetaben amyloid Centiloid and global SUVR and [¹⁸F]PI-2620 medial temporal, posterior cingulate, lateral parietal, and mesial-temporal-lobe tau-stage-weighted SUVR measures. Complementary MRI outcomes included hippocampal volume, cortical thickness, and WMH burden where available. Processed measures released by the parent studies were harmonized at the construct and variable-definition levels; raw images and outcomes were not pooled across cohorts.</w:t>
      </w:r>
    </w:p>
    <w:p>
      <w:pPr>
        <w:spacing w:line="360" w:lineRule="auto" w:after="0" w:before="0"/>
        <w:ind w:firstLine="360"/>
        <w:jc w:val="both"/>
      </w:pPr>
      <w:r>
        <w:rPr>
          <w:rFonts w:ascii="Times New Roman" w:hAnsi="Times New Roman" w:eastAsia="Times New Roman" w:cs="Times New Roman"/>
          <w:sz w:val="24"/>
        </w:rPr>
        <w:t>The primary ADNI cognitive endpoint was the modified Preclinical Alzheimer Cognitive Composite with Trails B (mPACCtrailsB), combining standardized delayed word-list recall, MMSE, Logical Memory delayed recall, and Trail Making Test Part B [27, 28]. HABS-HD used a cohort-specific PACC based on internally standardized MMSE, verbal-learning delayed recall, Digit Symbol Substitution, and animal fluency scores. The primary definition required at least three of four components; sensitivity definitions required all four components, substituted Trail Making Test Part B for animal fluency, or used neuropsychological components only. Higher scores indicated better cognition.</w:t>
      </w:r>
    </w:p>
    <w:p>
      <w:pPr>
        <w:spacing w:line="360" w:lineRule="auto" w:after="0" w:before="0"/>
        <w:ind w:firstLine="360"/>
        <w:jc w:val="both"/>
      </w:pPr>
      <w:r>
        <w:rPr>
          <w:rFonts w:ascii="Times New Roman" w:hAnsi="Times New Roman" w:eastAsia="Times New Roman" w:cs="Times New Roman"/>
          <w:sz w:val="24"/>
        </w:rPr>
        <w:t>For descriptive analyses, cohort-specific medians of pTau217 and PVeD defined four profiles: low pTau217/high PVeD, low pTau217/low PVeD, high pTau217/high PVeD, and high pTau217/low PVeD. Profiles were used for tables, figures, threshold-robustness analyses, and longitudinal contrasts. Primary effect-modification inference used continuous interaction models rather than dichotomized exposures.</w:t>
      </w:r>
    </w:p>
    <w:p>
      <w:pPr>
        <w:pStyle w:val="Heading2"/>
        <w:spacing w:line="360" w:lineRule="auto" w:before="0" w:after="0"/>
        <w:jc w:val="both"/>
      </w:pPr>
      <w:r>
        <w:rPr>
          <w:rFonts w:ascii="Times New Roman" w:hAnsi="Times New Roman" w:eastAsia="Times New Roman" w:cs="Times New Roman"/>
          <w:b/>
          <w:sz w:val="28"/>
        </w:rPr>
        <w:t>Statistical analysis and reproducibility</w:t>
      </w:r>
    </w:p>
    <w:p>
      <w:pPr>
        <w:spacing w:line="360" w:lineRule="auto" w:after="0" w:before="0"/>
        <w:ind w:firstLine="360"/>
        <w:jc w:val="both"/>
      </w:pPr>
      <w:r>
        <w:rPr>
          <w:rFonts w:ascii="Times New Roman" w:hAnsi="Times New Roman" w:eastAsia="Times New Roman" w:cs="Times New Roman"/>
          <w:sz w:val="24"/>
        </w:rPr>
        <w:t>For continuous outcomes, ordinary least-squares models included standardized log10 pTau217, standardized total PVeD, their product term, and prespecified covariates. ADNI primary models adjusted for age, sex, and education. Outcomes were standardized; the pTau217 × PVeD coefficient therefore represented the outcome-SD change associated with a 1-SD-by-1-SD interaction. For adverse-burden outcomes, a negative coefficient indicated a stronger positive pTau217-outcome association at lower PVeD. MRI-volume models additionally accounted for intracranial volume when it was not incorporated in the released measure.</w:t>
      </w:r>
    </w:p>
    <w:p>
      <w:pPr>
        <w:spacing w:line="360" w:lineRule="auto" w:after="0" w:before="0"/>
        <w:ind w:firstLine="360"/>
        <w:jc w:val="both"/>
      </w:pPr>
      <w:r>
        <w:rPr>
          <w:rFonts w:ascii="Times New Roman" w:hAnsi="Times New Roman" w:eastAsia="Times New Roman" w:cs="Times New Roman"/>
          <w:sz w:val="24"/>
        </w:rPr>
        <w:t>Interaction P values were adjusted within each prespecified outcome set using the Benjamini-Hochberg false discovery rate procedure [29]. Tests were two-sided. ADNI sensitivity models separately added APOE ε4 status, WMH burden, or hippocampal volume; restricted analyses to amyloid-positive participants; varied PVeD threshold definitions; and adjusted for ADNI phase, DTI protocol description, or both. Clinical diagnosis was not included as a covariate. Nested-model comparisons used adjusted R², Akaike information criterion, and Bayesian information criterion and were interpreted as explanatory rather than clinical-prediction analyses.</w:t>
      </w:r>
    </w:p>
    <w:p>
      <w:pPr>
        <w:spacing w:line="360" w:lineRule="auto" w:after="0" w:before="0"/>
        <w:ind w:firstLine="360"/>
        <w:jc w:val="both"/>
      </w:pPr>
      <w:r>
        <w:rPr>
          <w:rFonts w:ascii="Times New Roman" w:hAnsi="Times New Roman" w:eastAsia="Times New Roman" w:cs="Times New Roman"/>
          <w:sz w:val="24"/>
        </w:rPr>
        <w:t>For ADNI longitudinal cognition, participant-specific annual PACC slopes were estimated by linear regression of all eligible PACC observations on time among participants with at least two assessments. Slopes were compared across profiles using models adjusted for age, sex, and education; the prespecified contrast compared the high pTau217/low PVeD and high pTau217/high PVeD profiles. APOE ε4 adjustment was evaluated separately. Direct repeated-measures mixed-effects models with participant-specific random intercepts and slopes were used as a model-form audit; the two-stage annual-slope analysis was retained for the primary table to aid interpretation.</w:t>
      </w:r>
    </w:p>
    <w:p>
      <w:pPr>
        <w:spacing w:line="360" w:lineRule="auto" w:after="0" w:before="0"/>
        <w:ind w:firstLine="360"/>
        <w:jc w:val="both"/>
      </w:pPr>
      <w:r>
        <w:rPr>
          <w:rFonts w:ascii="Times New Roman" w:hAnsi="Times New Roman" w:eastAsia="Times New Roman" w:cs="Times New Roman"/>
          <w:sz w:val="24"/>
        </w:rPr>
        <w:t>HABS-HD cross-sectional validation used the same standardized interaction framework and adjusted for age, sex, and APOE ε4 status. Cross-sectional PACC outcomes were analysed continuously. Longitudinal PACC slopes were estimated among participants with at least two observations and compared across profiles using age-, sex-, and education-adjusted models, with APOE ε4 added separately. Specificity analyses tested GFAP × PVeD and NfL × PVeD interactions and whether pTau217 × PVeD persisted after GFAP and NfL main effects were added. These analyses were considered supportive because biomarker overlap reduced sample sizes.</w:t>
      </w:r>
    </w:p>
    <w:p>
      <w:pPr>
        <w:spacing w:line="360" w:lineRule="auto" w:after="0" w:before="0"/>
        <w:ind w:firstLine="360"/>
        <w:jc w:val="both"/>
      </w:pPr>
      <w:r>
        <w:rPr>
          <w:rFonts w:ascii="Times New Roman" w:hAnsi="Times New Roman" w:eastAsia="Times New Roman" w:cs="Times New Roman"/>
          <w:sz w:val="24"/>
        </w:rPr>
        <w:t xml:space="preserve">All models used complete cases for the endpoint, exposure, modifier, and specified covariates. Endpoint-specific denominators are reported in the supplementary tables. Variable definitions, cohort-construction logic, and analysis scripts were version controlled, and model outputs were checked against manuscript tables. Analyses were performed in R version 4.4.1 and Python version 3.12.4.</w:t>
      </w:r>
    </w:p>
    <w:p>
      <w:pPr>
        <w:spacing w:line="360" w:lineRule="auto" w:before="0" w:after="0"/>
        <w:jc w:val="both"/>
      </w:pPr>
      <w:r>
        <w:rPr>
          <w:rFonts w:ascii="Times New Roman" w:hAnsi="Times New Roman" w:eastAsia="Times New Roman" w:cs="Times New Roman"/>
          <w:sz w:val="24"/>
        </w:rPr>
        <w:br w:type="page"/>
      </w:r>
    </w:p>
    <w:p>
      <w:pPr>
        <w:pStyle w:val="Heading1"/>
        <w:spacing w:line="360" w:lineRule="auto" w:before="0" w:after="0"/>
        <w:jc w:val="both"/>
      </w:pPr>
      <w:r>
        <w:rPr>
          <w:rFonts w:ascii="Times New Roman" w:hAnsi="Times New Roman" w:eastAsia="Times New Roman" w:cs="Times New Roman"/>
          <w:b/>
          <w:sz w:val="28"/>
        </w:rPr>
        <w:t>Supplementary Results</w:t>
      </w:r>
    </w:p>
    <w:p>
      <w:pPr>
        <w:pStyle w:val="Heading2"/>
        <w:spacing w:line="360" w:lineRule="auto" w:before="0" w:after="0"/>
        <w:jc w:val="both"/>
      </w:pPr>
      <w:r>
        <w:rPr>
          <w:rFonts w:ascii="Times New Roman" w:hAnsi="Times New Roman" w:eastAsia="Times New Roman" w:cs="Times New Roman"/>
          <w:b/>
          <w:sz w:val="28"/>
        </w:rPr>
        <w:t>Cohort availability and profile characteristics</w:t>
      </w:r>
    </w:p>
    <w:p>
      <w:pPr>
        <w:spacing w:line="360" w:lineRule="auto" w:after="0" w:before="0"/>
        <w:ind w:firstLine="360"/>
        <w:jc w:val="both"/>
      </w:pPr>
      <w:r>
        <w:rPr>
          <w:rFonts w:ascii="Times New Roman" w:hAnsi="Times New Roman" w:eastAsia="Times New Roman" w:cs="Times New Roman"/>
          <w:sz w:val="24"/>
        </w:rPr>
        <w:t xml:space="preserve">The ADNI analytic cohort included 602 participants with PVeD and plasma pTau217. Cross-sectional amyloid PET, tau PET, and baseline cognition were available for 589, 595, and 601 participants, respectively; 323 participants contributed at least two PACC observations. Comparisons of included and excluded candidate-pool participants and phase/protocol availability are summarized in the accompanying supplementary tables. HABS-HD profile construction included 2313 participants; profile characteristics and endpoint-specific availability are summarized in the accompanying supplementary tables and Supplementary Figure S1.</w:t>
      </w:r>
    </w:p>
    <w:p>
      <w:pPr>
        <w:pStyle w:val="Heading2"/>
        <w:spacing w:line="360" w:lineRule="auto" w:before="0" w:after="0"/>
        <w:jc w:val="both"/>
      </w:pPr>
      <w:r>
        <w:rPr>
          <w:rFonts w:ascii="Times New Roman" w:hAnsi="Times New Roman" w:eastAsia="Times New Roman" w:cs="Times New Roman"/>
          <w:b/>
          <w:sz w:val="28"/>
        </w:rPr>
        <w:t>ADNI sensitivity, subgroup, threshold, and acquisition analyses</w:t>
      </w:r>
    </w:p>
    <w:p>
      <w:pPr>
        <w:spacing w:line="360" w:lineRule="auto" w:after="0" w:before="0"/>
        <w:ind w:firstLine="360"/>
        <w:jc w:val="both"/>
      </w:pPr>
      <w:r>
        <w:rPr>
          <w:rFonts w:ascii="Times New Roman" w:hAnsi="Times New Roman" w:eastAsia="Times New Roman" w:cs="Times New Roman"/>
          <w:sz w:val="24"/>
        </w:rPr>
        <w:t xml:space="preserve">The amyloid Centiloid interaction remained stable after separate adjustment for APOE ε4 status, WMH burden, or hippocampal volume (β range, −0.090 to −0.095). Amyloid SUVR and the principal tau outcomes showed comparable stability. Among amyloid-positive participants, estimates remained negative and of similar or larger magnitude for amyloid Centiloid, meta-temporal tau, and fusiform tau (β = −0.141 to −0.146), although the smaller subgroup did not meet the prespecified FDR threshold (all FDR-adjusted P = 0.055).</w:t>
      </w:r>
    </w:p>
    <w:p>
      <w:pPr>
        <w:spacing w:line="360" w:lineRule="auto" w:after="0" w:before="0"/>
        <w:ind w:firstLine="360"/>
        <w:jc w:val="both"/>
      </w:pPr>
      <w:r>
        <w:rPr>
          <w:rFonts w:ascii="Times New Roman" w:hAnsi="Times New Roman" w:eastAsia="Times New Roman" w:cs="Times New Roman"/>
          <w:sz w:val="24"/>
        </w:rPr>
        <w:t xml:space="preserve">Within the high-pTau217 stratum, low PVeD was associated with higher amyloid Centiloid, meta-temporal and fusiform tau, and lower baseline PACC using the median split (all FDR-adjusted P ≤ 0.016). Tau contrasts remained evident with tertile- and quartile-defined extremes, whereas amyloid and PACC estimates became less stable as samples decreased. Neither ADNI phase nor DTI protocol materially altered amyloid Centiloid, meta-temporal tau, or fusiform tau interaction estimates.</w:t>
      </w:r>
    </w:p>
    <w:p>
      <w:pPr>
        <w:pStyle w:val="Heading2"/>
        <w:spacing w:line="360" w:lineRule="auto" w:before="0" w:after="0"/>
        <w:jc w:val="both"/>
      </w:pPr>
      <w:r>
        <w:rPr>
          <w:rFonts w:ascii="Times New Roman" w:hAnsi="Times New Roman" w:eastAsia="Times New Roman" w:cs="Times New Roman"/>
          <w:b/>
          <w:sz w:val="28"/>
        </w:rPr>
        <w:t>Longitudinal model audit and incremental model value</w:t>
      </w:r>
    </w:p>
    <w:p>
      <w:pPr>
        <w:spacing w:line="360" w:lineRule="auto" w:after="0" w:before="0"/>
        <w:ind w:firstLine="360"/>
        <w:jc w:val="both"/>
      </w:pPr>
      <w:r>
        <w:rPr>
          <w:rFonts w:ascii="Times New Roman" w:hAnsi="Times New Roman" w:eastAsia="Times New Roman" w:cs="Times New Roman"/>
          <w:sz w:val="24"/>
        </w:rPr>
        <w:t xml:space="preserve">Among 323 participants with repeated PACC observations, median follow-up was 2.99 years. The high pTau217/low PVeD profile showed the fastest adjusted decline. The difference from the high pTau217/high PVeD profile was −0.100 PACC units/year (95% CI, −0.161 to −0.038; FDR-adjusted P = 0.002) and was unchanged after APOE ε4 adjustment (FDR-adjusted P = 0.003). Direct mixed-effects model audits and profile-specific observation counts are reported in the accompanying supplementary table.</w:t>
      </w:r>
    </w:p>
    <w:p>
      <w:pPr>
        <w:spacing w:line="360" w:lineRule="auto" w:after="0" w:before="0"/>
        <w:ind w:firstLine="360"/>
        <w:jc w:val="both"/>
      </w:pPr>
      <w:r>
        <w:rPr>
          <w:rFonts w:ascii="Times New Roman" w:hAnsi="Times New Roman" w:eastAsia="Times New Roman" w:cs="Times New Roman"/>
          <w:sz w:val="24"/>
        </w:rPr>
        <w:t xml:space="preserve">Adding pTau217 × PVeD increased adjusted R² in all five ADNI PET models by 0.005–0.013. The largest increments occurred for fusiform tau SUVR (0.362 to 0.375) and inferior temporal tau SUVR (0.389 to 0.400), whereas gains for amyloid Centiloid and SUVR were 0.007 and 0.005, respectively. These comparisons quantify incremental explanatory value but do not establish clinical prediction.</w:t>
      </w:r>
    </w:p>
    <w:p>
      <w:pPr>
        <w:pStyle w:val="Heading2"/>
        <w:spacing w:line="360" w:lineRule="auto" w:before="0" w:after="0"/>
        <w:jc w:val="both"/>
      </w:pPr>
      <w:r>
        <w:rPr>
          <w:rFonts w:ascii="Times New Roman" w:hAnsi="Times New Roman" w:eastAsia="Times New Roman" w:cs="Times New Roman"/>
          <w:b/>
          <w:sz w:val="28"/>
        </w:rPr>
        <w:t>HABS-HD temporal alignment, cognitive extension, and specificity analyses</w:t>
      </w:r>
    </w:p>
    <w:p>
      <w:pPr>
        <w:spacing w:line="360" w:lineRule="auto" w:after="0" w:before="0"/>
        <w:ind w:firstLine="360"/>
        <w:jc w:val="both"/>
      </w:pPr>
      <w:r>
        <w:rPr>
          <w:rFonts w:ascii="Times New Roman" w:hAnsi="Times New Roman" w:eastAsia="Times New Roman" w:cs="Times New Roman"/>
          <w:sz w:val="24"/>
        </w:rPr>
        <w:t xml:space="preserve">In HABS-HD, the pTau217 × PVeD interaction was replicated for florbetaben amyloid Centiloid and global SUVR and for posterior cingulate, lateral parietal, and mesial-temporal tau measures. Restricting plasma, PET, and PVeD measurements to a ±24-month window preserved both amyloid interactions (n = 837; β = −0.089; FDR-adjusted P &lt; 0.001) and the same three tau-region interactions (FDR-adjusted P ≤ 0.029).</w:t>
      </w:r>
    </w:p>
    <w:p>
      <w:pPr>
        <w:spacing w:line="360" w:lineRule="auto" w:after="0" w:before="0"/>
        <w:ind w:firstLine="360"/>
        <w:jc w:val="both"/>
      </w:pPr>
      <w:r>
        <w:rPr>
          <w:rFonts w:ascii="Times New Roman" w:hAnsi="Times New Roman" w:eastAsia="Times New Roman" w:cs="Times New Roman"/>
          <w:sz w:val="24"/>
        </w:rPr>
        <w:t xml:space="preserve">The pTau217 × PVeD interaction was associated with the primary PACC endpoint in the all-available and ±24-month samples (β = 0.092 and 0.090; both FDR-adjusted P &lt; 0.001), with comparable estimates across alternative composite definitions. Longitudinally, the high pTau217/low PVeD profile declined 0.037 PACC units/year faster than the high pTau217/high PVeD profile (95% CI, −0.061 to −0.014; FDR-adjusted P = 0.002), with no material change after APOE ε4 adjustment.</w:t>
      </w:r>
    </w:p>
    <w:p>
      <w:pPr>
        <w:spacing w:line="360" w:lineRule="auto" w:after="0" w:before="0"/>
        <w:ind w:firstLine="360"/>
        <w:jc w:val="both"/>
      </w:pPr>
      <w:r>
        <w:rPr>
          <w:rFonts w:ascii="Times New Roman" w:hAnsi="Times New Roman" w:eastAsia="Times New Roman" w:cs="Times New Roman"/>
          <w:sz w:val="24"/>
        </w:rPr>
        <w:t xml:space="preserve">Specificity analyses were limited by biomarker overlap, which reduced samples to 62–168 participants. GFAP × PVeD interactions were observed for several tau regions, whereas neither GFAP × PVeD nor NfL × PVeD was associated with amyloid in the ±24-month sample. After GFAP and NfL main effects were added, pTau217 × PVeD estimates were imprecise (all FDR-adjusted P ≥ 0.433). These supportive analyses did not establish strict biomarker specificity.</w:t>
      </w:r>
    </w:p>
    <w:p>
      <w:pPr>
        <w:spacing w:line="360" w:lineRule="auto" w:before="0" w:after="0"/>
        <w:jc w:val="both"/>
        <w:sectPr>
          <w:footerReference w:type="default" r:id="rId9"/>
          <w:pgSz w:w="12240" w:h="15840"/>
          <w:pgMar w:top="1080" w:right="1224" w:bottom="1008" w:left="1224" w:header="720" w:footer="720" w:gutter="0"/>
          <w:cols w:space="720"/>
          <w:docGrid w:linePitch="360"/>
        </w:sectPr>
      </w:pPr>
    </w:p>
    <w:p w14:paraId="0B99D837" w14:textId="77777777" w:rsidR="00BE1109" w:rsidRDefault="00000000">
      <w:pPr>
        <w:spacing w:after="0" w:before="0" w:line="360" w:lineRule="auto"/>
        <w:jc w:val="both"/>
      </w:pPr>
      <w:r>
        <w:rPr>
          <w:rFonts w:ascii="Times New Roman" w:hAnsi="Times New Roman" w:eastAsia="Times New Roman" w:cs="Times New Roman"/>
          <w:b/>
          <w:sz w:val="24"/>
        </w:rPr>
        <w:t>Table S1. Cohort flow and analytic sample derivation.</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4628"/>
        <w:gridCol w:w="2495"/>
        <w:gridCol w:w="3394"/>
        <w:gridCol w:w="4027"/>
      </w:tblGrid>
      <w:tr w:rsidR="00BE1109" w14:paraId="35F4B30D" w14:textId="77777777">
        <w:trPr>
          <w:tblHeader/>
          <w:jc w:val="center"/>
          <w:cantSplit/>
        </w:trPr>
        <w:tc>
          <w:tcPr>
            <w:tcW w:w="4628"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Analytic step</w:t>
            </w:r>
          </w:p>
        </w:tc>
        <w:tc>
          <w:tcPr>
            <w:tcW w:w="2495"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Participants, n</w:t>
            </w:r>
          </w:p>
        </w:tc>
        <w:tc>
          <w:tcPr>
            <w:tcW w:w="3394"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Rows or observations, n</w:t>
            </w:r>
          </w:p>
        </w:tc>
        <w:tc>
          <w:tcPr>
            <w:tcW w:w="4027"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Definition</w:t>
            </w:r>
          </w:p>
        </w:tc>
      </w:tr>
      <w:tr w:rsidR="00BE1109" w14:paraId="6F991C25"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Final baseline profile cohort</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PVeD and plasma pTau217 available</w:t>
            </w:r>
          </w:p>
        </w:tc>
      </w:tr>
      <w:tr w:rsidR="00BE1109" w14:paraId="7F1C24B2"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Model-ready continuous interaction cohort</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Complete baseline pTau217 and PVeD records</w:t>
            </w:r>
          </w:p>
        </w:tc>
      </w:tr>
      <w:tr w:rsidR="00BE1109" w14:paraId="2D9FE876"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amyloid PET Centiloid</w:t>
            </w:r>
          </w:p>
        </w:tc>
      </w:tr>
      <w:tr w:rsidR="00BE1109" w14:paraId="524030BD"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amyloid PET SUVR</w:t>
            </w:r>
          </w:p>
        </w:tc>
      </w:tr>
      <w:tr w:rsidR="00BE1109" w14:paraId="1C68C8C9"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meta-temporal tau PET SUVR</w:t>
            </w:r>
          </w:p>
        </w:tc>
      </w:tr>
      <w:tr w:rsidR="00BE1109" w14:paraId="71E01D71"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fusiform tau PET SUVR</w:t>
            </w:r>
          </w:p>
        </w:tc>
      </w:tr>
      <w:tr w:rsidR="00BE1109" w14:paraId="542D16DF"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Hippocampal volume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593</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593</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hippocampal volume</w:t>
            </w:r>
          </w:p>
        </w:tc>
      </w:tr>
      <w:tr w:rsidR="00BE1109" w14:paraId="252BFE74"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WMH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593</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593</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WMH burden</w:t>
            </w:r>
          </w:p>
        </w:tc>
      </w:tr>
      <w:tr w:rsidR="00BE1109" w14:paraId="50C2AD2F"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Baseline PACC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601</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601</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baseline PACC</w:t>
            </w:r>
          </w:p>
        </w:tc>
      </w:tr>
      <w:tr w:rsidR="00BE1109" w14:paraId="124284BB"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Baseline MMSE available</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599</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599</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Non-missing baseline MMSE</w:t>
            </w:r>
          </w:p>
        </w:tc>
      </w:tr>
      <w:tr w:rsidR="00BE1109" w14:paraId="4F10B2C5"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Longitudinal cognition master</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546</w:t>
            </w:r>
          </w:p>
        </w:tc>
        <w:tc>
          <w:tcPr>
            <w:tcW w:w="339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1128</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All longitudinal rows</w:t>
            </w:r>
          </w:p>
        </w:tc>
      </w:tr>
      <w:tr w:rsidR="00BE1109" w14:paraId="4D5612F0" w14:textId="77777777">
        <w:trPr>
          <w:jc w:val="center"/>
          <w:cantSplit/>
        </w:trPr>
        <w:tc>
          <w:tcPr>
            <w:tcW w:w="4628"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At least two PACC visits</w:t>
            </w:r>
          </w:p>
        </w:tc>
        <w:tc>
          <w:tcPr>
            <w:tcW w:w="249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323</w:t>
            </w:r>
          </w:p>
        </w:tc>
        <w:tc>
          <w:tcPr>
            <w:tcW w:w="3394" w:type="dxa"/>
            <w:tcBorders>
              <w:top w:val="nil"/>
              <w:left w:val="nil"/>
              <w:bottom w:val="nil"/>
              <w:right w:val="nil"/>
            </w:tcBorders>
            <w:vAlign w:val="center"/>
            <w:tcMar>
              <w:top w:w="45" w:type="dxa"/>
              <w:start w:w="55" w:type="dxa"/>
              <w:bottom w:w="45" w:type="dxa"/>
              <w:end w:w="55" w:type="dxa"/>
            </w:tcMar>
          </w:tcPr>
          <w:p>
            <w:r>
              <w:t>905</w:t>
            </w:r>
          </w:p>
        </w:tc>
        <w:tc>
          <w:tcPr>
            <w:tcW w:w="402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Participants with ≥2 PACC observations</w:t>
            </w:r>
          </w:p>
        </w:tc>
      </w:tr>
      <w:tr w:rsidR="00BE1109" w14:paraId="142C99F9" w14:textId="77777777">
        <w:trPr>
          <w:jc w:val="center"/>
          <w:cantSplit/>
        </w:trPr>
        <w:tc>
          <w:tcPr>
            <w:tcW w:w="4628"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At least two MMSE visits</w:t>
            </w:r>
          </w:p>
        </w:tc>
        <w:tc>
          <w:tcPr>
            <w:tcW w:w="2495"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322</w:t>
            </w:r>
          </w:p>
        </w:tc>
        <w:tc>
          <w:tcPr>
            <w:tcW w:w="3394" w:type="dxa"/>
            <w:tcBorders>
              <w:top w:val="nil"/>
              <w:left w:val="nil"/>
              <w:bottom w:val="single" w:sz="12" w:space="0" w:color="000000"/>
              <w:right w:val="nil"/>
            </w:tcBorders>
            <w:vAlign w:val="center"/>
            <w:tcMar>
              <w:top w:w="45" w:type="dxa"/>
              <w:start w:w="55" w:type="dxa"/>
              <w:bottom w:w="45" w:type="dxa"/>
              <w:end w:w="55" w:type="dxa"/>
            </w:tcMar>
          </w:tcPr>
          <w:p>
            <w:r>
              <w:t>899</w:t>
            </w:r>
          </w:p>
        </w:tc>
        <w:tc>
          <w:tcPr>
            <w:tcW w:w="4027"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Participants with ≥2 MMSE observations</w:t>
            </w:r>
          </w:p>
        </w:tc>
      </w:tr>
    </w:tbl>
    <w:p w14:paraId="0E1B974A" w14:textId="77777777" w:rsidR="00BE1109" w:rsidRDefault="00000000">
      <w:pPr>
        <w:spacing w:before="0" w:after="0" w:line="276" w:lineRule="auto"/>
        <w:jc w:val="both"/>
      </w:pPr>
      <w:r>
        <w:rPr>
          <w:rFonts w:ascii="Times New Roman" w:hAnsi="Times New Roman" w:eastAsia="Times New Roman" w:cs="Times New Roman"/>
          <w:b w:val="0"/>
          <w:sz w:val="21"/>
        </w:rPr>
        <w:t>Notes: This table summarizes cohort construction and data availability across baseline, PET, MRI, and longitudinal cognitive analyses. Counts reflect participants or observations available for the corresponding analytic step.</w:t>
      </w:r>
    </w:p>
    <w:p w14:paraId="53879D57" w14:textId="77777777" w:rsidR="00BE1109" w:rsidRDefault="00000000">
      <w:pPr>
        <w:spacing w:after="0" w:before="0" w:line="276" w:lineRule="auto"/>
        <w:jc w:val="both"/>
      </w:pPr>
      <w:r>
        <w:rPr>
          <w:rFonts w:ascii="Times New Roman" w:hAnsi="Times New Roman" w:eastAsia="Times New Roman" w:cs="Times New Roman"/>
          <w:b w:val="0"/>
          <w:sz w:val="21"/>
        </w:rPr>
        <w:t>Abbreviations: AD, Alzheimer's disease; APOE, apolipoprotein E; DTI, diffusion tensor imaging; MRI, magnetic resonance imaging; PACC, Preclinical Alzheimer Cognitive Composite; PET, positron emission tomography; pTau217, phosphorylated tau 217; PVeD, periventricular diffusivity; WMH, white matter hyperintensities.</w:t>
      </w:r>
    </w:p>
    <w:p w14:paraId="14ABF9EF"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24A00BCF" w14:textId="77777777" w:rsidR="00BE1109" w:rsidRDefault="00000000">
      <w:pPr>
        <w:pageBreakBefore/>
        <w:spacing w:after="0" w:before="0" w:line="360" w:lineRule="auto"/>
        <w:jc w:val="both"/>
      </w:pPr>
      <w:r>
        <w:rPr>
          <w:rFonts w:ascii="Times New Roman" w:hAnsi="Times New Roman" w:eastAsia="Times New Roman" w:cs="Times New Roman"/>
          <w:b/>
          <w:sz w:val="24"/>
        </w:rPr>
        <w:t>Table S2. Sensitivity analyses across adjustment sets for primary cross-sectional interaction models.</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3976"/>
        <w:gridCol w:w="3457"/>
        <w:gridCol w:w="915"/>
        <w:gridCol w:w="2916"/>
        <w:gridCol w:w="1238"/>
        <w:gridCol w:w="2042"/>
      </w:tblGrid>
      <w:tr w:rsidR="00BE1109" w14:paraId="209E3BBB" w14:textId="77777777">
        <w:trPr>
          <w:tblHeader/>
          <w:jc w:val="center"/>
          <w:cantSplit/>
        </w:trPr>
        <w:tc>
          <w:tcPr>
            <w:tcW w:w="397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w="3457"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Adjustment set</w:t>
            </w:r>
          </w:p>
        </w:tc>
        <w:tc>
          <w:tcPr>
            <w:tcW w:w="915"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w="291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Interaction β (95% CI)</w:t>
            </w:r>
          </w:p>
        </w:tc>
        <w:tc>
          <w:tcPr>
            <w:tcW w:w="1238"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w="2042"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rsidR="00BE1109" w14:paraId="705FDE66"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-0.096 (-0.154, -0.037)</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0.018</w:t>
            </w:r>
          </w:p>
        </w:tc>
      </w:tr>
      <w:tr w:rsidR="00BE1109" w14:paraId="6B94A15D"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APOE ε4 status</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-0.095 (-0.151, -0.038)</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0.013</w:t>
            </w:r>
          </w:p>
        </w:tc>
      </w:tr>
      <w:tr w:rsidR="00BE1109" w14:paraId="6BDB922C"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WMH burden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581</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-0.092 (-0.151, -0.033)</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r>
      <w:tr w:rsidR="00BE1109" w14:paraId="3F110F61"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hippocampal volume</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581</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-0.091 (-0.150, -0.032)</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0.022</w:t>
            </w:r>
          </w:p>
        </w:tc>
      </w:tr>
      <w:tr w:rsidR="00BE1109" w14:paraId="3F787DB6"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-0.087 (-0.148, -0.026)</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0.018</w:t>
            </w:r>
          </w:p>
        </w:tc>
      </w:tr>
      <w:tr w:rsidR="00BE1109" w14:paraId="14AAE162"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APOE ε4 status</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-0.086 (-0.144, -0.028)</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0.017</w:t>
            </w:r>
          </w:p>
        </w:tc>
      </w:tr>
      <w:tr w:rsidR="00BE1109" w14:paraId="23DAA834"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WMH burden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581</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-0.085 (-0.146, -0.024)</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0.006</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0.013</w:t>
            </w:r>
          </w:p>
        </w:tc>
      </w:tr>
      <w:tr w:rsidR="00BE1109" w14:paraId="27529657"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hippocampal volume</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581</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-0.082 (-0.142, -0.021)</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0.022</w:t>
            </w:r>
          </w:p>
        </w:tc>
      </w:tr>
      <w:tr w:rsidR="00BE1109" w14:paraId="4272FEA9"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-0.092 (-0.158, -0.027)</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0.018</w:t>
            </w:r>
          </w:p>
        </w:tc>
      </w:tr>
      <w:tr w:rsidR="00BE1109" w14:paraId="56B3B317"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APOE ε4 status</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-0.092 (-0.157, -0.027)</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0.017</w:t>
            </w:r>
          </w:p>
        </w:tc>
      </w:tr>
      <w:tr w:rsidR="00BE1109" w14:paraId="40E2494C"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WMH burden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586</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-0.097 (-0.162, -0.031)</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0.012</w:t>
            </w:r>
          </w:p>
        </w:tc>
      </w:tr>
      <w:tr w:rsidR="00BE1109" w14:paraId="303C78B5"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hippocampal volume</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586</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-0.090 (-0.154, -0.026)</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0.006</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0.022</w:t>
            </w:r>
          </w:p>
        </w:tc>
      </w:tr>
      <w:tr w:rsidR="00BE1109" w14:paraId="616036FA"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-0.090 (-0.156, -0.024)</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0.007</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r>
      <w:tr w:rsidR="00BE1109" w14:paraId="63D0C77E"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APOE ε4 status</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-0.090 (-0.156, -0.024)</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0.007</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r>
      <w:tr w:rsidR="00BE1109" w14:paraId="1CA27037"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WMH burden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569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-0.095 (-0.161, -0.028)</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0.013</w:t>
            </w:r>
          </w:p>
        </w:tc>
      </w:tr>
      <w:tr w:rsidR="00BE1109" w14:paraId="38B87EF6"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hippocampal volume</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569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-0.088 (-0.154, -0.023)</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0.022</w:t>
            </w:r>
          </w:p>
        </w:tc>
      </w:tr>
      <w:tr w:rsidR="00BE1109" w14:paraId="0CB58FCD"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-0.099 (-0.167, -0.032)</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0.018</w:t>
            </w:r>
          </w:p>
        </w:tc>
      </w:tr>
      <w:tr w:rsidR="00BE1109" w14:paraId="03A9C112"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APOE ε4 status</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-0.099 (-0.166, -0.032)</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0.017</w:t>
            </w:r>
          </w:p>
        </w:tc>
      </w:tr>
      <w:tr w:rsidR="00BE1109" w14:paraId="3FC8D70E" w14:textId="77777777">
        <w:trPr>
          <w:jc w:val="center"/>
          <w:cantSplit/>
        </w:trPr>
        <w:tc>
          <w:tcPr>
            <w:tcW w:w="397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345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WMH burden</w:t>
            </w:r>
          </w:p>
        </w:tc>
        <w:tc>
          <w:tcPr>
            <w:tcW w:w="91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569</w:t>
            </w:r>
          </w:p>
        </w:tc>
        <w:tc>
          <w:tcPr>
            <w:tcW w:w="291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-0.104 (-0.171, -0.036)</w:t>
            </w:r>
          </w:p>
        </w:tc>
        <w:tc>
          <w:tcPr>
            <w:tcW w:w="123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0.003</w:t>
            </w:r>
          </w:p>
        </w:tc>
        <w:tc>
          <w:tcPr>
            <w:tcW w:w="204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r>
      <w:tr w:rsidR="00BE1109" w14:paraId="5C8E7022" w14:textId="77777777">
        <w:trPr>
          <w:jc w:val="center"/>
          <w:cantSplit/>
        </w:trPr>
        <w:tc>
          <w:tcPr>
            <w:tcW w:w="3976"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3457"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hippocampal volume</w:t>
            </w:r>
          </w:p>
        </w:tc>
        <w:tc>
          <w:tcPr>
            <w:tcW w:w="915"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569</w:t>
            </w:r>
          </w:p>
        </w:tc>
        <w:tc>
          <w:tcPr>
            <w:tcW w:w="2916"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-0.097 (-0.163, -0.030)</w:t>
            </w:r>
          </w:p>
        </w:tc>
        <w:tc>
          <w:tcPr>
            <w:tcW w:w="1238"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2042"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0.022</w:t>
            </w:r>
          </w:p>
        </w:tc>
      </w:tr>
    </w:tbl>
    <w:p w14:paraId="5F70B2F9" w14:textId="77777777" w:rsidR="00BE1109" w:rsidRDefault="00000000">
      <w:pPr>
        <w:spacing w:before="0" w:after="0" w:line="276" w:lineRule="auto"/>
        <w:jc w:val="both"/>
      </w:pPr>
      <w:r>
        <w:rPr>
          <w:rFonts w:ascii="Times New Roman" w:hAnsi="Times New Roman" w:eastAsia="Times New Roman" w:cs="Times New Roman"/>
          <w:b w:val="0"/>
          <w:sz w:val="21"/>
        </w:rPr>
        <w:t>Notes: Interaction estimates are shown for the prespecified primary model and separate sensitivity models additionally accounting for APOE ε4 status, WMH burden, or hippocampal volume. Clinical diagnosis was not included as a covariate. P values were adjusted within each prespecified outcome set using the false discovery rate.</w:t>
      </w:r>
    </w:p>
    <w:p w14:paraId="018EE682" w14:textId="77777777" w:rsidR="00BE1109" w:rsidRDefault="00000000">
      <w:pPr>
        <w:spacing w:after="0" w:before="0" w:line="276" w:lineRule="auto"/>
        <w:jc w:val="both"/>
      </w:pPr>
      <w:r>
        <w:rPr>
          <w:rFonts w:ascii="Times New Roman" w:hAnsi="Times New Roman" w:eastAsia="Times New Roman" w:cs="Times New Roman"/>
          <w:b w:val="0"/>
          <w:sz w:val="21"/>
        </w:rPr>
        <w:t>Abbreviations: APOE, apolipoprotein E; CI, confidence interval; FDR, false discovery rate; PET, positron emission tomography; pTau217, phosphorylated tau 217; PVeD, periventricular diffusivity; SUVR, standardized uptake value ratio; WMH, white matter hyperintensities.</w:t>
      </w:r>
    </w:p>
    <w:p w14:paraId="622DB9DA"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0F3FDBFB" w14:textId="77777777" w:rsidR="00BE1109" w:rsidRDefault="00000000">
      <w:pPr>
        <w:pageBreakBefore/>
        <w:spacing w:after="0" w:before="0" w:line="360" w:lineRule="auto"/>
        <w:jc w:val="both"/>
      </w:pPr>
      <w:r>
        <w:rPr>
          <w:rFonts w:ascii="Times New Roman" w:hAnsi="Times New Roman" w:eastAsia="Times New Roman" w:cs="Times New Roman"/>
          <w:b/>
          <w:sz w:val="24"/>
        </w:rPr>
        <w:t>Table S3. Primary interaction analyses restricted to the amyloid-positive subgroup.</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5216"/>
        <w:gridCol w:w="1200"/>
        <w:gridCol w:w="3826"/>
        <w:gridCol w:w="1624"/>
        <w:gridCol w:w="2678"/>
      </w:tblGrid>
      <w:tr w:rsidR="00BE1109" w14:paraId="3046396F" w14:textId="77777777">
        <w:trPr>
          <w:tblHeader/>
          <w:jc w:val="center"/>
          <w:cantSplit/>
        </w:trPr>
        <w:tc>
          <w:tcPr>
            <w:tcW w:w="521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w="1200"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w="382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Interaction β (95% CI)</w:t>
            </w:r>
          </w:p>
        </w:tc>
        <w:tc>
          <w:tcPr>
            <w:tcW w:w="1624"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w="2678"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rsidR="00BE1109" w14:paraId="3557E343" w14:textId="77777777">
        <w:trPr>
          <w:jc w:val="center"/>
          <w:cantSplit/>
        </w:trPr>
        <w:tc>
          <w:tcPr>
            <w:tcW w:w="521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120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221</w:t>
            </w:r>
          </w:p>
        </w:tc>
        <w:tc>
          <w:tcPr>
            <w:tcW w:w="38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-0.146 (-0.269, -0.022)</w:t>
            </w:r>
          </w:p>
        </w:tc>
        <w:tc>
          <w:tcPr>
            <w:tcW w:w="162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0.021</w:t>
            </w:r>
          </w:p>
        </w:tc>
        <w:tc>
          <w:tcPr>
            <w:tcW w:w="267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0.055</w:t>
            </w:r>
          </w:p>
        </w:tc>
      </w:tr>
      <w:tr w:rsidR="00BE1109" w14:paraId="10476E8A" w14:textId="77777777">
        <w:trPr>
          <w:jc w:val="center"/>
          <w:cantSplit/>
        </w:trPr>
        <w:tc>
          <w:tcPr>
            <w:tcW w:w="521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120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221</w:t>
            </w:r>
          </w:p>
        </w:tc>
        <w:tc>
          <w:tcPr>
            <w:tcW w:w="38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-0.160 (-0.282, -0.037)</w:t>
            </w:r>
          </w:p>
        </w:tc>
        <w:tc>
          <w:tcPr>
            <w:tcW w:w="162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c>
          <w:tcPr>
            <w:tcW w:w="267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0.055</w:t>
            </w:r>
          </w:p>
        </w:tc>
      </w:tr>
      <w:tr w:rsidR="00BE1109" w14:paraId="0735D151" w14:textId="77777777">
        <w:trPr>
          <w:jc w:val="center"/>
          <w:cantSplit/>
        </w:trPr>
        <w:tc>
          <w:tcPr>
            <w:tcW w:w="521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120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219</w:t>
            </w:r>
          </w:p>
        </w:tc>
        <w:tc>
          <w:tcPr>
            <w:tcW w:w="38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-0.146 (-0.262, -0.030)</w:t>
            </w:r>
          </w:p>
        </w:tc>
        <w:tc>
          <w:tcPr>
            <w:tcW w:w="162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0.014</w:t>
            </w:r>
          </w:p>
        </w:tc>
        <w:tc>
          <w:tcPr>
            <w:tcW w:w="267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0.055</w:t>
            </w:r>
          </w:p>
        </w:tc>
      </w:tr>
      <w:tr w:rsidR="00BE1109" w14:paraId="2FB02FE5" w14:textId="77777777">
        <w:trPr>
          <w:jc w:val="center"/>
          <w:cantSplit/>
        </w:trPr>
        <w:tc>
          <w:tcPr>
            <w:tcW w:w="521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120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214</w:t>
            </w:r>
          </w:p>
        </w:tc>
        <w:tc>
          <w:tcPr>
            <w:tcW w:w="38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-0.157 (-0.279, -0.036)</w:t>
            </w:r>
          </w:p>
        </w:tc>
        <w:tc>
          <w:tcPr>
            <w:tcW w:w="162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c>
          <w:tcPr>
            <w:tcW w:w="267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0.055</w:t>
            </w:r>
          </w:p>
        </w:tc>
      </w:tr>
      <w:tr w:rsidR="00BE1109" w14:paraId="39DE1D9E" w14:textId="77777777">
        <w:trPr>
          <w:jc w:val="center"/>
          <w:cantSplit/>
        </w:trPr>
        <w:tc>
          <w:tcPr>
            <w:tcW w:w="5216"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1200"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214</w:t>
            </w:r>
          </w:p>
        </w:tc>
        <w:tc>
          <w:tcPr>
            <w:tcW w:w="3826"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-0.141 (-0.265, -0.018)</w:t>
            </w:r>
          </w:p>
        </w:tc>
        <w:tc>
          <w:tcPr>
            <w:tcW w:w="1624"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0.025</w:t>
            </w:r>
          </w:p>
        </w:tc>
        <w:tc>
          <w:tcPr>
            <w:tcW w:w="2678"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0.055</w:t>
            </w:r>
          </w:p>
        </w:tc>
      </w:tr>
    </w:tbl>
    <w:p w14:paraId="19231B41" w14:textId="77777777" w:rsidR="00BE1109" w:rsidRDefault="00000000">
      <w:pPr>
        <w:spacing w:before="0" w:after="0" w:line="276" w:lineRule="auto"/>
        <w:jc w:val="both"/>
      </w:pPr>
      <w:r>
        <w:rPr>
          <w:rFonts w:ascii="Times New Roman" w:hAnsi="Times New Roman" w:eastAsia="Times New Roman" w:cs="Times New Roman"/>
          <w:b w:val="0"/>
          <w:sz w:val="21"/>
        </w:rPr>
        <w:t>Notes: Analyses were restricted to amyloid-positive participants to evaluate whether the primary pTau217 × PVeD interaction remained evident within individuals with established amyloid pathology. P values are reported before and after false discovery rate correction.</w:t>
      </w:r>
    </w:p>
    <w:p w14:paraId="72D952D1" w14:textId="77777777" w:rsidR="00BE1109" w:rsidRDefault="00000000">
      <w:pPr>
        <w:spacing w:after="0" w:before="0" w:line="276" w:lineRule="auto"/>
        <w:jc w:val="both"/>
      </w:pPr>
      <w:r>
        <w:rPr>
          <w:rFonts w:ascii="Times New Roman" w:hAnsi="Times New Roman" w:eastAsia="Times New Roman" w:cs="Times New Roman"/>
          <w:b w:val="0"/>
          <w:sz w:val="21"/>
        </w:rPr>
        <w:t>Abbreviations: A+, amyloid positive; CI, confidence interval; FDR, false discovery rate; PET, positron emission tomography; pTau217, phosphorylated tau 217; PVeD, periventricular diffusivity; SUVR, standardized uptake value ratio.</w:t>
      </w:r>
    </w:p>
    <w:p w14:paraId="164B23B3"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5BA54299" w14:textId="77777777" w:rsidR="00BE1109" w:rsidRDefault="00000000">
      <w:pPr>
        <w:pageBreakBefore/>
        <w:spacing w:after="0" w:before="0" w:line="360" w:lineRule="auto"/>
        <w:jc w:val="both"/>
      </w:pPr>
      <w:r>
        <w:rPr>
          <w:rFonts w:ascii="Times New Roman" w:hAnsi="Times New Roman" w:eastAsia="Times New Roman" w:cs="Times New Roman"/>
          <w:b/>
          <w:sz w:val="24"/>
        </w:rPr>
        <w:t>Table S4. Longitudinal sample audit and profile-specific follow-up structure.</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3686"/>
        <w:gridCol w:w="4534"/>
        <w:gridCol w:w="1788"/>
        <w:gridCol w:w="4536"/>
      </w:tblGrid>
      <w:tr w:rsidR="00BE1109" w14:paraId="46A1B0D4" w14:textId="77777777">
        <w:trPr>
          <w:tblHeader/>
          <w:jc w:val="center"/>
          <w:cantSplit/>
        </w:trPr>
        <w:tc>
          <w:tcPr>
            <w:tcW w:w="368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Analysis component</w:t>
            </w:r>
          </w:p>
        </w:tc>
        <w:tc>
          <w:tcPr>
            <w:tcW w:w="4534"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Measure</w:t>
            </w:r>
          </w:p>
        </w:tc>
        <w:tc>
          <w:tcPr>
            <w:tcW w:w="1788"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Result</w:t>
            </w:r>
          </w:p>
        </w:tc>
        <w:tc>
          <w:tcPr>
            <w:tcW w:w="453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Details</w:t>
            </w:r>
          </w:p>
        </w:tc>
      </w:tr>
      <w:tr w:rsidR="00BE1109" w14:paraId="160E212F"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Participants with ≥2 PACC observations</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323</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Eligible for within-person slope/LMM</w:t>
            </w:r>
          </w:p>
        </w:tc>
      </w:tr>
      <w:tr w:rsidR="00BE1109" w14:paraId="669343FB"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PACC observations in the master cohort (including one-visit participants)</w:t>
            </w:r>
          </w:p>
        </w:tc>
        <w:tc>
          <w:tcPr>
            <w:tcW w:w="1788" w:type="dxa"/>
            <w:tcBorders>
              <w:top w:val="nil"/>
              <w:left w:val="nil"/>
              <w:bottom w:val="nil"/>
              <w:right w:val="nil"/>
            </w:tcBorders>
            <w:vAlign w:val="center"/>
            <w:tcMar>
              <w:top w:w="45" w:type="dxa"/>
              <w:start w:w="55" w:type="dxa"/>
              <w:bottom w:w="45" w:type="dxa"/>
              <w:end w:w="55" w:type="dxa"/>
            </w:tcMar>
          </w:tcPr>
          <w:p>
            <w:r>
              <w:t>1128</w:t>
            </w:r>
          </w:p>
        </w:tc>
        <w:tc>
          <w:tcPr>
            <w:tcW w:w="4536" w:type="dxa"/>
            <w:tcBorders>
              <w:top w:val="nil"/>
              <w:left w:val="nil"/>
              <w:bottom w:val="nil"/>
              <w:right w:val="nil"/>
            </w:tcBorders>
            <w:vAlign w:val="center"/>
            <w:tcMar>
              <w:top w:w="45" w:type="dxa"/>
              <w:start w:w="55" w:type="dxa"/>
              <w:bottom w:w="45" w:type="dxa"/>
              <w:end w:w="55" w:type="dxa"/>
            </w:tcMar>
          </w:tcPr>
          <w:p>
            <w:r>
              <w:t>All available observations in 546 participants</w:t>
            </w:r>
          </w:p>
        </w:tc>
      </w:tr>
      <w:tr w:rsidR="00BE1109" w14:paraId="3A160300"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Participants with ≥2 MMSE observations</w:t>
            </w:r>
          </w:p>
        </w:tc>
        <w:tc>
          <w:tcPr>
            <w:tcW w:w="1788" w:type="dxa"/>
            <w:tcBorders>
              <w:top w:val="nil"/>
              <w:left w:val="nil"/>
              <w:bottom w:val="nil"/>
              <w:right w:val="nil"/>
            </w:tcBorders>
            <w:vAlign w:val="center"/>
            <w:tcMar>
              <w:top w:w="45" w:type="dxa"/>
              <w:start w:w="55" w:type="dxa"/>
              <w:bottom w:w="45" w:type="dxa"/>
              <w:end w:w="55" w:type="dxa"/>
            </w:tcMar>
          </w:tcPr>
          <w:p>
            <w:r>
              <w:t>322</w:t>
            </w:r>
          </w:p>
        </w:tc>
        <w:tc>
          <w:tcPr>
            <w:tcW w:w="4536" w:type="dxa"/>
            <w:tcBorders>
              <w:top w:val="nil"/>
              <w:left w:val="nil"/>
              <w:bottom w:val="nil"/>
              <w:right w:val="nil"/>
            </w:tcBorders>
            <w:vAlign w:val="center"/>
            <w:tcMar>
              <w:top w:w="45" w:type="dxa"/>
              <w:start w:w="55" w:type="dxa"/>
              <w:bottom w:w="45" w:type="dxa"/>
              <w:end w:w="55" w:type="dxa"/>
            </w:tcMar>
          </w:tcPr>
          <w:p>
            <w:r>
              <w:t>Eligible for within-person slope/LMM</w:t>
            </w:r>
          </w:p>
        </w:tc>
      </w:tr>
      <w:tr w:rsidR="00BE1109" w14:paraId="52D6FEBA"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MMSE observations in the master cohort (including one-visit participants)</w:t>
            </w:r>
          </w:p>
        </w:tc>
        <w:tc>
          <w:tcPr>
            <w:tcW w:w="1788" w:type="dxa"/>
            <w:tcBorders>
              <w:top w:val="nil"/>
              <w:left w:val="nil"/>
              <w:bottom w:val="nil"/>
              <w:right w:val="nil"/>
            </w:tcBorders>
            <w:vAlign w:val="center"/>
            <w:tcMar>
              <w:top w:w="45" w:type="dxa"/>
              <w:start w:w="55" w:type="dxa"/>
              <w:bottom w:w="45" w:type="dxa"/>
              <w:end w:w="55" w:type="dxa"/>
            </w:tcMar>
          </w:tcPr>
          <w:p>
            <w:r>
              <w:t>1122</w:t>
            </w:r>
          </w:p>
        </w:tc>
        <w:tc>
          <w:tcPr>
            <w:tcW w:w="4536" w:type="dxa"/>
            <w:tcBorders>
              <w:top w:val="nil"/>
              <w:left w:val="nil"/>
              <w:bottom w:val="nil"/>
              <w:right w:val="nil"/>
            </w:tcBorders>
            <w:vAlign w:val="center"/>
            <w:tcMar>
              <w:top w:w="45" w:type="dxa"/>
              <w:start w:w="55" w:type="dxa"/>
              <w:bottom w:w="45" w:type="dxa"/>
              <w:end w:w="55" w:type="dxa"/>
            </w:tcMar>
          </w:tcPr>
          <w:p>
            <w:r>
              <w:t>All available observations in the master cohort</w:t>
            </w:r>
          </w:p>
        </w:tc>
      </w:tr>
      <w:tr w:rsidR="00BE1109" w14:paraId="5307F300"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Median follow-up span among PACC-longitudinal participants</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2.99</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Years</w:t>
            </w:r>
          </w:p>
        </w:tc>
      </w:tr>
      <w:tr w:rsidR="00BE1109" w14:paraId="4298D926"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Longitudinal rows: pTau217+ / PVeD+</w:t>
            </w:r>
          </w:p>
        </w:tc>
        <w:tc>
          <w:tcPr>
            <w:tcW w:w="1788" w:type="dxa"/>
            <w:tcBorders>
              <w:top w:val="nil"/>
              <w:left w:val="nil"/>
              <w:bottom w:val="nil"/>
              <w:right w:val="nil"/>
            </w:tcBorders>
            <w:vAlign w:val="center"/>
            <w:tcMar>
              <w:top w:w="45" w:type="dxa"/>
              <w:start w:w="55" w:type="dxa"/>
              <w:bottom w:w="45" w:type="dxa"/>
              <w:end w:w="55" w:type="dxa"/>
            </w:tcMar>
          </w:tcPr>
          <w:p>
            <w:r>
              <w:t>200</w:t>
            </w:r>
          </w:p>
        </w:tc>
        <w:tc>
          <w:tcPr>
            <w:tcW w:w="4536" w:type="dxa"/>
            <w:tcBorders>
              <w:top w:val="nil"/>
              <w:left w:val="nil"/>
              <w:bottom w:val="nil"/>
              <w:right w:val="nil"/>
            </w:tcBorders>
            <w:vAlign w:val="center"/>
            <w:tcMar>
              <w:top w:w="45" w:type="dxa"/>
              <w:start w:w="55" w:type="dxa"/>
              <w:bottom w:w="45" w:type="dxa"/>
              <w:end w:w="55" w:type="dxa"/>
            </w:tcMar>
          </w:tcPr>
          <w:p>
            <w:r>
              <w:t>67 participants</w:t>
            </w:r>
          </w:p>
        </w:tc>
      </w:tr>
      <w:tr w:rsidR="00BE1109" w14:paraId="69F26CB9"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Longitudinal rows: pTau217+ / PVeD-</w:t>
            </w:r>
          </w:p>
        </w:tc>
        <w:tc>
          <w:tcPr>
            <w:tcW w:w="1788" w:type="dxa"/>
            <w:tcBorders>
              <w:top w:val="nil"/>
              <w:left w:val="nil"/>
              <w:bottom w:val="nil"/>
              <w:right w:val="nil"/>
            </w:tcBorders>
            <w:vAlign w:val="center"/>
            <w:tcMar>
              <w:top w:w="45" w:type="dxa"/>
              <w:start w:w="55" w:type="dxa"/>
              <w:bottom w:w="45" w:type="dxa"/>
              <w:end w:w="55" w:type="dxa"/>
            </w:tcMar>
          </w:tcPr>
          <w:p>
            <w:r>
              <w:t>219</w:t>
            </w:r>
          </w:p>
        </w:tc>
        <w:tc>
          <w:tcPr>
            <w:tcW w:w="4536" w:type="dxa"/>
            <w:tcBorders>
              <w:top w:val="nil"/>
              <w:left w:val="nil"/>
              <w:bottom w:val="nil"/>
              <w:right w:val="nil"/>
            </w:tcBorders>
            <w:vAlign w:val="center"/>
            <w:tcMar>
              <w:top w:w="45" w:type="dxa"/>
              <w:start w:w="55" w:type="dxa"/>
              <w:bottom w:w="45" w:type="dxa"/>
              <w:end w:w="55" w:type="dxa"/>
            </w:tcMar>
          </w:tcPr>
          <w:p>
            <w:r>
              <w:t>81 participants</w:t>
            </w:r>
          </w:p>
        </w:tc>
      </w:tr>
      <w:tr w:rsidR="00BE1109" w14:paraId="4B851CD9"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Longitudinal rows: pTau217- / PVeD+</w:t>
            </w:r>
          </w:p>
        </w:tc>
        <w:tc>
          <w:tcPr>
            <w:tcW w:w="1788" w:type="dxa"/>
            <w:tcBorders>
              <w:top w:val="nil"/>
              <w:left w:val="nil"/>
              <w:bottom w:val="nil"/>
              <w:right w:val="nil"/>
            </w:tcBorders>
            <w:vAlign w:val="center"/>
            <w:tcMar>
              <w:top w:w="45" w:type="dxa"/>
              <w:start w:w="55" w:type="dxa"/>
              <w:bottom w:w="45" w:type="dxa"/>
              <w:end w:w="55" w:type="dxa"/>
            </w:tcMar>
          </w:tcPr>
          <w:p>
            <w:r>
              <w:t>286</w:t>
            </w:r>
          </w:p>
        </w:tc>
        <w:tc>
          <w:tcPr>
            <w:tcW w:w="4536" w:type="dxa"/>
            <w:tcBorders>
              <w:top w:val="nil"/>
              <w:left w:val="nil"/>
              <w:bottom w:val="nil"/>
              <w:right w:val="nil"/>
            </w:tcBorders>
            <w:vAlign w:val="center"/>
            <w:tcMar>
              <w:top w:w="45" w:type="dxa"/>
              <w:start w:w="55" w:type="dxa"/>
              <w:bottom w:w="45" w:type="dxa"/>
              <w:end w:w="55" w:type="dxa"/>
            </w:tcMar>
          </w:tcPr>
          <w:p>
            <w:r>
              <w:t>101 participants</w:t>
            </w:r>
          </w:p>
        </w:tc>
      </w:tr>
      <w:tr w:rsidR="00BE1109" w14:paraId="0CCF1E68"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Inclusion</w:t>
            </w:r>
          </w:p>
        </w:tc>
        <w:tc>
          <w:tcPr>
            <w:tcW w:w="4534" w:type="dxa"/>
            <w:tcBorders>
              <w:top w:val="nil"/>
              <w:left w:val="nil"/>
              <w:bottom w:val="nil"/>
              <w:right w:val="nil"/>
            </w:tcBorders>
            <w:vAlign w:val="center"/>
            <w:tcMar>
              <w:top w:w="45" w:type="dxa"/>
              <w:start w:w="55" w:type="dxa"/>
              <w:bottom w:w="45" w:type="dxa"/>
              <w:end w:w="55" w:type="dxa"/>
            </w:tcMar>
          </w:tcPr>
          <w:p>
            <w:r>
              <w:t>Longitudinal rows: pTau217- / PVeD-</w:t>
            </w:r>
          </w:p>
        </w:tc>
        <w:tc>
          <w:tcPr>
            <w:tcW w:w="1788" w:type="dxa"/>
            <w:tcBorders>
              <w:top w:val="nil"/>
              <w:left w:val="nil"/>
              <w:bottom w:val="nil"/>
              <w:right w:val="nil"/>
            </w:tcBorders>
            <w:vAlign w:val="center"/>
            <w:tcMar>
              <w:top w:w="45" w:type="dxa"/>
              <w:start w:w="55" w:type="dxa"/>
              <w:bottom w:w="45" w:type="dxa"/>
              <w:end w:w="55" w:type="dxa"/>
            </w:tcMar>
          </w:tcPr>
          <w:p>
            <w:r>
              <w:t>200</w:t>
            </w:r>
          </w:p>
        </w:tc>
        <w:tc>
          <w:tcPr>
            <w:tcW w:w="4536" w:type="dxa"/>
            <w:tcBorders>
              <w:top w:val="nil"/>
              <w:left w:val="nil"/>
              <w:bottom w:val="nil"/>
              <w:right w:val="nil"/>
            </w:tcBorders>
            <w:vAlign w:val="center"/>
            <w:tcMar>
              <w:top w:w="45" w:type="dxa"/>
              <w:start w:w="55" w:type="dxa"/>
              <w:bottom w:w="45" w:type="dxa"/>
              <w:end w:w="55" w:type="dxa"/>
            </w:tcMar>
          </w:tcPr>
          <w:p>
            <w:r>
              <w:t>74 participants</w:t>
            </w:r>
          </w:p>
        </w:tc>
      </w:tr>
      <w:tr w:rsidR="00BE1109" w14:paraId="68E31898"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Direct LMM</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PACC direct LMM</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905 rows</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323 participants; random intercept and slope</w:t>
            </w:r>
          </w:p>
        </w:tc>
      </w:tr>
      <w:tr w:rsidR="00BE1109" w14:paraId="703D16E5"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Direct LMM</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MMSE direct LMM</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899 rows</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322 participants; random intercept and slope</w:t>
            </w:r>
          </w:p>
        </w:tc>
      </w:tr>
      <w:tr w:rsidR="00BE1109" w14:paraId="2D57586F"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Slope model</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PACC | age, sex, and education</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323</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R² = 0.174; adjusted R² = 0.158</w:t>
            </w:r>
          </w:p>
        </w:tc>
      </w:tr>
      <w:tr w:rsidR="00BE1109" w14:paraId="3CDA16C1"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Slope model</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PACC | age, sex, education, and APOE ε4</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323</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R² = 0.194; adjusted R² = 0.173</w:t>
            </w:r>
          </w:p>
        </w:tc>
      </w:tr>
      <w:tr w:rsidR="00BE1109" w14:paraId="74E04105"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Slope model</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MMSE | age, sex, and education</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322</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R² = 0.127; adjusted R² = 0.110</w:t>
            </w:r>
          </w:p>
        </w:tc>
      </w:tr>
      <w:tr w:rsidR="00BE1109" w14:paraId="40929E6F" w14:textId="77777777">
        <w:trPr>
          <w:jc w:val="center"/>
          <w:cantSplit/>
        </w:trPr>
        <w:tc>
          <w:tcPr>
            <w:tcW w:w="3686"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Slope model</w:t>
            </w:r>
          </w:p>
        </w:tc>
        <w:tc>
          <w:tcPr>
            <w:tcW w:w="453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MMSE | age, sex, education, and APOE ε4</w:t>
            </w:r>
          </w:p>
        </w:tc>
        <w:tc>
          <w:tcPr>
            <w:tcW w:w="1788"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322</w:t>
            </w:r>
          </w:p>
        </w:tc>
        <w:tc>
          <w:tcPr>
            <w:tcW w:w="453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R² = 0.138; adjusted R² = 0.116</w:t>
            </w:r>
          </w:p>
        </w:tc>
      </w:tr>
    </w:tbl>
    <w:p w14:paraId="2867B93D" w14:textId="77777777" w:rsidR="00BE1109" w:rsidRDefault="00000000">
      <w:pPr>
        <w:spacing w:before="0" w:after="0" w:line="276" w:lineRule="auto"/>
        <w:jc w:val="both"/>
      </w:pPr>
      <w:r>
        <w:t>Notes: Overall longitudinal master-cohort availability is reported in Supplementary Table S1. This table distinguishes the all-record longitudinal master cohort from the analysis-eligible repeated-measures samples, and summarizes profile-specific follow-up, mixed-effects model-form audits, and the two-stage annual-slope models. Primary profile comparisons adjusted for age, sex, and education; APOE ε4 status was added separately in sensitivity analyses. Clinical diagnosis was not included as a covariate.</w:t>
      </w:r>
    </w:p>
    <w:p w14:paraId="2E3A333A" w14:textId="77777777" w:rsidR="00BE1109" w:rsidRDefault="00000000">
      <w:pPr>
        <w:spacing w:after="0" w:before="0" w:line="276" w:lineRule="auto"/>
        <w:jc w:val="both"/>
      </w:pPr>
      <w:r>
        <w:rPr>
          <w:rFonts w:ascii="Times New Roman" w:hAnsi="Times New Roman" w:eastAsia="Times New Roman" w:cs="Times New Roman"/>
          <w:b w:val="0"/>
          <w:sz w:val="21"/>
        </w:rPr>
        <w:t>Abbreviations: MMSE, Mini-Mental State Examination; PACC, Preclinical Alzheimer Cognitive Composite; pTau217, phosphorylated tau 217; PVeD, periventricular diffusivity.</w:t>
      </w:r>
    </w:p>
    <w:p w14:paraId="09CBF84A"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7100D58B" w14:textId="77777777" w:rsidR="00BE1109" w:rsidRDefault="00000000">
      <w:pPr>
        <w:pageBreakBefore/>
        <w:spacing w:after="0" w:before="0" w:line="360" w:lineRule="auto"/>
        <w:jc w:val="both"/>
      </w:pPr>
      <w:r>
        <w:rPr>
          <w:rFonts w:ascii="Times New Roman" w:hAnsi="Times New Roman" w:eastAsia="Times New Roman" w:cs="Times New Roman"/>
          <w:b/>
          <w:sz w:val="24"/>
        </w:rPr>
        <w:t>Table S5. Incremental value of biomarker terms for cross-sectional neuroimaging outcomes.</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4051"/>
        <w:gridCol w:w="2490"/>
        <w:gridCol w:w="932"/>
        <w:gridCol w:w="1747"/>
        <w:gridCol w:w="3063"/>
        <w:gridCol w:w="1129"/>
        <w:gridCol w:w="1132"/>
      </w:tblGrid>
      <w:tr w:rsidR="00BE1109" w14:paraId="499CE0E1" w14:textId="77777777">
        <w:trPr>
          <w:tblHeader/>
          <w:jc w:val="center"/>
          <w:cantSplit/>
        </w:trPr>
        <w:tc>
          <w:tcPr>
            <w:tcW w:w="4051"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w="2490"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Model</w:t>
            </w:r>
          </w:p>
        </w:tc>
        <w:tc>
          <w:tcPr>
            <w:tcW w:w="932"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w="1747"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Adjusted R²</w:t>
            </w:r>
          </w:p>
        </w:tc>
        <w:tc>
          <w:tcPr>
            <w:tcW w:w="3063"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Δ adjusted R² vs pTau217</w:t>
            </w:r>
          </w:p>
        </w:tc>
        <w:tc>
          <w:tcPr>
            <w:tcW w:w="1129"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AIC</w:t>
            </w:r>
          </w:p>
        </w:tc>
        <w:tc>
          <w:tcPr>
            <w:tcW w:w="1132"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BIC</w:t>
            </w:r>
          </w:p>
        </w:tc>
      </w:tr>
      <w:tr w:rsidR="00BE1109" w14:paraId="37E50A8D"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Covariates</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0.085</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-0.433</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-47.4</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-29.9</w:t>
            </w:r>
          </w:p>
        </w:tc>
      </w:tr>
      <w:tr w:rsidR="00BE1109" w14:paraId="5A98ED3D"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0.518</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0.000</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-423.8</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-401.9</w:t>
            </w:r>
          </w:p>
        </w:tc>
      </w:tr>
      <w:tr w:rsidR="00BE1109" w14:paraId="72898CB8"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and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0.517</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-421.9</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-395.6</w:t>
            </w:r>
          </w:p>
        </w:tc>
      </w:tr>
      <w:tr w:rsidR="00BE1109" w14:paraId="31C2C89E"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0.525</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0.007</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-430.1</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-399.5</w:t>
            </w:r>
          </w:p>
        </w:tc>
      </w:tr>
      <w:tr w:rsidR="00BE1109" w14:paraId="52998240"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Covariates</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0.058</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-0.428</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-30.2</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-12.7</w:t>
            </w:r>
          </w:p>
        </w:tc>
      </w:tr>
      <w:tr w:rsidR="00BE1109" w14:paraId="7443B627"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0.486</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0.000</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-386.5</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-364.6</w:t>
            </w:r>
          </w:p>
        </w:tc>
      </w:tr>
      <w:tr w:rsidR="00BE1109" w14:paraId="0CEB34CF"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and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0.486</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-384.5</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-358.2</w:t>
            </w:r>
          </w:p>
        </w:tc>
      </w:tr>
      <w:tr w:rsidR="00BE1109" w14:paraId="10DF1786"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0.492</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-390.5</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-359.8</w:t>
            </w:r>
          </w:p>
        </w:tc>
      </w:tr>
      <w:tr w:rsidR="00BE1109" w14:paraId="5ACA035A"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Covariates</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0.013</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-0.387</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15.0</w:t>
            </w:r>
          </w:p>
        </w:tc>
      </w:tr>
      <w:tr w:rsidR="00BE1109" w14:paraId="13AD062F"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0.400</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0.000</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-298.0</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-276.0</w:t>
            </w:r>
          </w:p>
        </w:tc>
      </w:tr>
      <w:tr w:rsidR="00BE1109" w14:paraId="0581B543"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and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0.404</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-300.5</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-274.1</w:t>
            </w:r>
          </w:p>
        </w:tc>
      </w:tr>
      <w:tr w:rsidR="00BE1109" w14:paraId="07F6A73B"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0.410</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0.010</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-306.2</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-275.5</w:t>
            </w:r>
          </w:p>
        </w:tc>
      </w:tr>
      <w:tr w:rsidR="00BE1109" w14:paraId="2696CEAC"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Covariates</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-0.379</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16.3</w:t>
            </w:r>
          </w:p>
        </w:tc>
      </w:tr>
      <w:tr w:rsidR="00BE1109" w14:paraId="58C4C977"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0.389</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0.000</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-279.2</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-257.4</w:t>
            </w:r>
          </w:p>
        </w:tc>
      </w:tr>
      <w:tr w:rsidR="00BE1109" w14:paraId="575400F5"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and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0.394</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-282.3</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-256.1</w:t>
            </w:r>
          </w:p>
        </w:tc>
      </w:tr>
      <w:tr w:rsidR="00BE1109" w14:paraId="2A2EA914"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0.400</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-287.5</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-257.0</w:t>
            </w:r>
          </w:p>
        </w:tc>
      </w:tr>
      <w:tr w:rsidR="00BE1109" w14:paraId="57052B3B"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Covariates</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0.017</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-0.345</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-4.9</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12.6</w:t>
            </w:r>
          </w:p>
        </w:tc>
      </w:tr>
      <w:tr w:rsidR="00BE1109" w14:paraId="1AA99811"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0.362</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0.000</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-254.0</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-232.2</w:t>
            </w:r>
          </w:p>
        </w:tc>
      </w:tr>
      <w:tr w:rsidR="00BE1109" w14:paraId="41D08A75" w14:textId="77777777">
        <w:trPr>
          <w:jc w:val="center"/>
          <w:cantSplit/>
        </w:trPr>
        <w:tc>
          <w:tcPr>
            <w:tcW w:w="4051"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49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and PVeD</w:t>
            </w:r>
          </w:p>
        </w:tc>
        <w:tc>
          <w:tcPr>
            <w:tcW w:w="9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0.367</w:t>
            </w:r>
          </w:p>
        </w:tc>
        <w:tc>
          <w:tcPr>
            <w:tcW w:w="306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112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-257.7</w:t>
            </w:r>
          </w:p>
        </w:tc>
        <w:tc>
          <w:tcPr>
            <w:tcW w:w="1132"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-231.5</w:t>
            </w:r>
          </w:p>
        </w:tc>
      </w:tr>
      <w:tr w:rsidR="00BE1109" w14:paraId="62F02A8A" w14:textId="77777777">
        <w:trPr>
          <w:jc w:val="center"/>
          <w:cantSplit/>
        </w:trPr>
        <w:tc>
          <w:tcPr>
            <w:tcW w:w="4051"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490"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pTau217 × PVeD</w:t>
            </w:r>
          </w:p>
        </w:tc>
        <w:tc>
          <w:tcPr>
            <w:tcW w:w="932"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747"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0.375</w:t>
            </w:r>
          </w:p>
        </w:tc>
        <w:tc>
          <w:tcPr>
            <w:tcW w:w="3063"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0.013</w:t>
            </w:r>
          </w:p>
        </w:tc>
        <w:tc>
          <w:tcPr>
            <w:tcW w:w="1129"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-264.1</w:t>
            </w:r>
          </w:p>
        </w:tc>
        <w:tc>
          <w:tcPr>
            <w:tcW w:w="1132"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-233.6</w:t>
            </w:r>
          </w:p>
        </w:tc>
      </w:tr>
    </w:tbl>
    <w:p w14:paraId="329CE2D9" w14:textId="77777777" w:rsidR="00BE1109" w:rsidRDefault="00000000">
      <w:pPr>
        <w:spacing w:before="0" w:after="0" w:line="276" w:lineRule="auto"/>
        <w:jc w:val="both"/>
      </w:pPr>
      <w:r>
        <w:rPr>
          <w:rFonts w:ascii="Times New Roman" w:hAnsi="Times New Roman" w:eastAsia="Times New Roman" w:cs="Times New Roman"/>
          <w:b w:val="0"/>
          <w:sz w:val="21"/>
        </w:rPr>
        <w:t>Notes: Incremental model performance was evaluated by sequentially adding biomarker terms to covariate-adjusted models. Δ adjusted R² values are expressed relative to the model including pTau217 alone, where applicable. Lower AIC and BIC indicate better in-sample model fit.</w:t>
      </w:r>
    </w:p>
    <w:p w14:paraId="47B77C31" w14:textId="77777777" w:rsidR="00BE1109" w:rsidRDefault="00000000">
      <w:pPr>
        <w:spacing w:after="0" w:before="0" w:line="276" w:lineRule="auto"/>
        <w:jc w:val="both"/>
      </w:pPr>
      <w:r>
        <w:rPr>
          <w:rFonts w:ascii="Times New Roman" w:hAnsi="Times New Roman" w:eastAsia="Times New Roman" w:cs="Times New Roman"/>
          <w:b w:val="0"/>
          <w:sz w:val="21"/>
        </w:rPr>
        <w:t>Abbreviations: AIC, Akaike information criterion; BIC, Bayesian information criterion; PET, positron emission tomography; pTau217, phosphorylated tau 217; PVeD, periventricular diffusivity; R², coefficient of determination; SUVR, standardized uptake value ratio.</w:t>
      </w:r>
    </w:p>
    <w:p w14:paraId="65244A13"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3C3AB8C8" w14:textId="77777777" w:rsidR="00BE1109" w:rsidRDefault="00000000">
      <w:pPr>
        <w:pageBreakBefore/>
        <w:spacing w:after="0" w:before="0" w:line="360" w:lineRule="auto"/>
        <w:jc w:val="both"/>
      </w:pPr>
      <w:r>
        <w:rPr>
          <w:rFonts w:ascii="Times New Roman" w:hAnsi="Times New Roman" w:eastAsia="Times New Roman" w:cs="Times New Roman"/>
          <w:b/>
          <w:sz w:val="24"/>
        </w:rPr>
        <w:t>Table S6. Robustness of pTau217-associated effects across alternative PVeD threshold definitions.</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2469"/>
        <w:gridCol w:w="3164"/>
        <w:gridCol w:w="1569"/>
        <w:gridCol w:w="1670"/>
        <w:gridCol w:w="2669"/>
        <w:gridCol w:w="1133"/>
        <w:gridCol w:w="1870"/>
      </w:tblGrid>
      <w:tr w:rsidR="00BE1109" w14:paraId="3AFC64AC" w14:textId="77777777">
        <w:trPr>
          <w:tblHeader/>
          <w:jc w:val="center"/>
          <w:cantSplit/>
        </w:trPr>
        <w:tc>
          <w:tcPr>
            <w:tcW w:w="2469"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Threshold scheme</w:t>
            </w:r>
          </w:p>
        </w:tc>
        <w:tc>
          <w:tcPr>
            <w:tcW w:w="3164"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w="1569"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Low PVeD, n</w:t>
            </w:r>
          </w:p>
        </w:tc>
        <w:tc>
          <w:tcPr>
            <w:tcW w:w="1670"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High PVeD, n</w:t>
            </w:r>
          </w:p>
        </w:tc>
        <w:tc>
          <w:tcPr>
            <w:tcW w:w="2669"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Estimate (95% CI)</w:t>
            </w:r>
          </w:p>
        </w:tc>
        <w:tc>
          <w:tcPr>
            <w:tcW w:w="1133"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w="1870"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rsidR="00BE1109" w14:paraId="7F53F120"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Median split</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173</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0.291 (0.055, 0.527)</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0.016</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0.016</w:t>
            </w:r>
          </w:p>
        </w:tc>
      </w:tr>
      <w:tr w:rsidR="00BE1109" w14:paraId="2C88A1B8"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Median split</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173</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0.317 (0.078, 0.555)</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0.009</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r>
      <w:tr w:rsidR="00BE1109" w14:paraId="7E48B786"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Median split</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173</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0.368 (0.133, 0.602)</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r>
      <w:tr w:rsidR="00BE1109" w14:paraId="66825CE9"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Median split</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173</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0.364 (0.127, 0.602)</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0.003</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r>
      <w:tr w:rsidR="00BE1109" w14:paraId="51A0B1B9"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Median split</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173</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0.389 (0.150, 0.629)</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r>
      <w:tr w:rsidR="00BE1109" w14:paraId="678771B8"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Median split</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Baseline PACC</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173</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-0.375 (-0.599, -0.152)</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r>
      <w:tr w:rsidR="00BE1109" w14:paraId="0F352454"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Tertile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76</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0.277 (-0.047, 0.602)</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0.094</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0.094</w:t>
            </w:r>
          </w:p>
        </w:tc>
      </w:tr>
      <w:tr w:rsidR="00BE1109" w14:paraId="1C31598D"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Tertile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76</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0.301 (-0.026, 0.628)</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0.071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0.085</w:t>
            </w:r>
          </w:p>
        </w:tc>
      </w:tr>
      <w:tr w:rsidR="00BE1109" w14:paraId="16D7A553"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Tertile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76</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0.585 (0.271, 0.899)</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rsidR="00BE1109" w14:paraId="76505D08"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Tertile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76</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0.569 (0.252, 0.887)</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rsidR="00BE1109" w14:paraId="6A44EFD9"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Tertile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76</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0.633 (0.316, 0.949)</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rsidR="00BE1109" w14:paraId="6656308F"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Tertile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Baseline PACC</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76</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-0.395 (-0.699, -0.091)</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0.016</w:t>
            </w:r>
          </w:p>
        </w:tc>
      </w:tr>
      <w:tr w:rsidR="00BE1109" w14:paraId="6055D53F"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Quartile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91</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0.191 (-0.181, 0.563)</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0.314</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0.314</w:t>
            </w:r>
          </w:p>
        </w:tc>
      </w:tr>
      <w:tr w:rsidR="00BE1109" w14:paraId="4DB12FD4"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Quartile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91</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0.248 (-0.128, 0.624)</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0.195</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0.236</w:t>
            </w:r>
          </w:p>
        </w:tc>
      </w:tr>
      <w:tr w:rsidR="00BE1109" w14:paraId="747095DC"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Quartile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91</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0.517 (0.153, 0.882)</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0.015</w:t>
            </w:r>
          </w:p>
        </w:tc>
      </w:tr>
      <w:tr w:rsidR="00BE1109" w14:paraId="493EB396"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Quartile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inferior temporal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91</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0.505 (0.134, 0.875)</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0.015</w:t>
            </w:r>
          </w:p>
        </w:tc>
      </w:tr>
      <w:tr w:rsidR="00BE1109" w14:paraId="6E6078D8" w14:textId="77777777">
        <w:trPr>
          <w:jc w:val="center"/>
          <w:cantSplit/>
        </w:trPr>
        <w:tc>
          <w:tcPr>
            <w:tcW w:w="246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Quartile extremes</w:t>
            </w:r>
          </w:p>
        </w:tc>
        <w:tc>
          <w:tcPr>
            <w:tcW w:w="31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15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91</w:t>
            </w:r>
          </w:p>
        </w:tc>
        <w:tc>
          <w:tcPr>
            <w:tcW w:w="16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w:t>
            </w:r>
          </w:p>
        </w:tc>
        <w:tc>
          <w:tcPr>
            <w:tcW w:w="2669"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0.585 (0.217, 0.952)</w:t>
            </w:r>
          </w:p>
        </w:tc>
        <w:tc>
          <w:tcPr>
            <w:tcW w:w="1133"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w="1870"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r>
      <w:tr w:rsidR="00BE1109" w14:paraId="3467D50D" w14:textId="77777777">
        <w:trPr>
          <w:jc w:val="center"/>
          <w:cantSplit/>
        </w:trPr>
        <w:tc>
          <w:tcPr>
            <w:tcW w:w="2469"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Quartile extremes</w:t>
            </w:r>
          </w:p>
        </w:tc>
        <w:tc>
          <w:tcPr>
            <w:tcW w:w="3164"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Baseline PACC</w:t>
            </w:r>
          </w:p>
        </w:tc>
        <w:tc>
          <w:tcPr>
            <w:tcW w:w="1569"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91</w:t>
            </w:r>
          </w:p>
        </w:tc>
        <w:tc>
          <w:tcPr>
            <w:tcW w:w="1670"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w:t>
            </w:r>
          </w:p>
        </w:tc>
        <w:tc>
          <w:tcPr>
            <w:tcW w:w="2669"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-0.234 (-0.589, 0.121)</w:t>
            </w:r>
          </w:p>
        </w:tc>
        <w:tc>
          <w:tcPr>
            <w:tcW w:w="1133"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0.196</w:t>
            </w:r>
          </w:p>
        </w:tc>
        <w:tc>
          <w:tcPr>
            <w:tcW w:w="1870"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0.236</w:t>
            </w:r>
          </w:p>
        </w:tc>
      </w:tr>
    </w:tbl>
    <w:p w14:paraId="0E653030" w14:textId="77777777" w:rsidR="00BE1109" w:rsidRDefault="00000000">
      <w:pPr>
        <w:spacing w:before="0" w:after="0" w:line="276" w:lineRule="auto"/>
        <w:jc w:val="both"/>
      </w:pPr>
      <w:r>
        <w:rPr>
          <w:rFonts w:ascii="Times New Roman" w:hAnsi="Times New Roman" w:eastAsia="Times New Roman" w:cs="Times New Roman"/>
          <w:b w:val="0"/>
          <w:sz w:val="21"/>
        </w:rPr>
        <w:t>Notes: Threshold robustness analyses evaluated whether the estimated association between PVeD grouping and neuroimaging outcomes was stable across alternative PVeD cutoff definitions. Low and high PVeD sample sizes refer to participants retained under each thresholding scheme. P values are reported before and after false discovery rate correction.</w:t>
      </w:r>
    </w:p>
    <w:p w14:paraId="5AF65A75" w14:textId="77777777" w:rsidR="00BE1109" w:rsidRDefault="00000000">
      <w:pPr>
        <w:spacing w:after="0" w:before="0" w:line="276" w:lineRule="auto"/>
        <w:jc w:val="both"/>
      </w:pPr>
      <w:r>
        <w:rPr>
          <w:rFonts w:ascii="Times New Roman" w:hAnsi="Times New Roman" w:eastAsia="Times New Roman" w:cs="Times New Roman"/>
          <w:b w:val="0"/>
          <w:sz w:val="21"/>
        </w:rPr>
        <w:t>Abbreviations: CI, confidence interval; FDR, false discovery rate; PET, positron emission tomography; PVeD, periventricular diffusivity; SUVR, standardized uptake value ratio.</w:t>
      </w:r>
    </w:p>
    <w:p w14:paraId="37F91D1C"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6ADE9682" w14:textId="77777777" w:rsidR="00BE1109" w:rsidRDefault="00000000">
      <w:pPr>
        <w:pageBreakBefore/>
        <w:spacing w:after="0" w:before="0" w:line="360" w:lineRule="auto"/>
        <w:jc w:val="both"/>
      </w:pPr>
      <w:r>
        <w:rPr>
          <w:rFonts w:ascii="Times New Roman" w:hAnsi="Times New Roman" w:eastAsia="Times New Roman" w:cs="Times New Roman"/>
          <w:b/>
          <w:sz w:val="24"/>
        </w:rPr>
        <w:t>Table S7. Comparison of included and excluded participants.</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3439"/>
        <w:gridCol w:w="2281"/>
        <w:gridCol w:w="1385"/>
        <w:gridCol w:w="1764"/>
        <w:gridCol w:w="1385"/>
        <w:gridCol w:w="1764"/>
        <w:gridCol w:w="2526"/>
      </w:tblGrid>
      <w:tr w:rsidR="00BE1109" w14:paraId="493E91DA" w14:textId="77777777">
        <w:trPr>
          <w:tblHeader/>
          <w:jc w:val="center"/>
          <w:cantSplit/>
        </w:trPr>
        <w:tc>
          <w:tcPr>
            <w:tcW w:w="3439"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Variable</w:t>
            </w:r>
          </w:p>
        </w:tc>
        <w:tc>
          <w:tcPr>
            <w:tcW w:w="2281"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Candidate-pool count</w:t>
            </w:r>
          </w:p>
        </w:tc>
        <w:tc>
          <w:tcPr>
            <w:tcW w:w="1385"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Included n</w:t>
            </w:r>
          </w:p>
        </w:tc>
        <w:tc>
          <w:tcPr>
            <w:tcW w:w="1764"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Included</w:t>
            </w:r>
          </w:p>
        </w:tc>
        <w:tc>
          <w:tcPr>
            <w:tcW w:w="1385"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Excluded n</w:t>
            </w:r>
          </w:p>
        </w:tc>
        <w:tc>
          <w:tcPr>
            <w:tcW w:w="1764"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Excluded</w:t>
            </w:r>
          </w:p>
        </w:tc>
        <w:tc>
          <w:tcPr>
            <w:tcW w:w="2526" w:type="dxa"/>
            <w:tcBorders>
              <w:top w:val="single" w:sz="12" w:space="0" w:color="000000"/>
              <w:left w:val="nil"/>
              <w:bottom w:val="single" w:sz="6"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Standardized difference</w:t>
            </w:r>
          </w:p>
        </w:tc>
      </w:tr>
      <w:tr w:rsidR="00BE1109" w14:paraId="5CE319C5"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PVeD subjects</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1229</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4614EEA4"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Plasma pTau217 subjects</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1593</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1B5014E5"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PVeD + plasma pTau217 candidate subjects</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892</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5EF3698"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Final analytic cohort</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0504FDB6"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Candidate subjects not in final cohort</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62A09EBF"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Age</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71.287 (7.799)</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74.212 (7.390)</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-0.385</w:t>
            </w:r>
          </w:p>
        </w:tc>
      </w:tr>
      <w:tr w:rsidR="00BE1109" w14:paraId="76F79D95"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Education</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16.230 (2.313)</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16.532 (2.557)</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-0.124</w:t>
            </w:r>
          </w:p>
        </w:tc>
      </w:tr>
      <w:tr w:rsidR="00BE1109" w14:paraId="57258725"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Plasma pTau217</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0.253 (0.280)</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0.278 (0.307)</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-0.087</w:t>
            </w:r>
          </w:p>
        </w:tc>
      </w:tr>
      <w:tr w:rsidR="00BE1109" w14:paraId="22D83E67"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PVeD total</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0.449 (0.043)</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0.451 (0.057)</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-0.039</w:t>
            </w:r>
          </w:p>
        </w:tc>
      </w:tr>
      <w:tr w:rsidR="00BE1109" w14:paraId="004A5C7B"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Sex</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05BDB9F6"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Female</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309 (56.5%)</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145 (51.1%)</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58C3E81E"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Male</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238 (43.5%)</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139 (48.9%)</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2B15F9A"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Clinical diagnosis (descriptive)</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1100AA39"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CN</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289 (52.8%)</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166 (58.5%)</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6F795964"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Dementia</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 (11.0%)</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33 (11.6%)</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379D29A7"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MCI</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547</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198 (36.2%)</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85 (29.9%)</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9A5E11C"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APOE ε4 status</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5ABBE5D8"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APOE ε4 non-carrier</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534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306 (57.3%)</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283</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178 (62.9%)</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425ABA58"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APOE ε4 carrier</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534</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228 (42.7%)</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283</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105 (37.1%)</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1AC9E3F7"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ADNI phase</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B2A6AD9"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ADNI1</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 (0.7%)</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 (5.2%)</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E41270F"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ADNI2</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 (1.3%)</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 (7.2%)</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22A95844"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ADNI3</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438 (72.8%)</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131 (45.2%)</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4E4A34B9" w14:textId="77777777">
        <w:trPr>
          <w:jc w:val="center"/>
          <w:cantSplit/>
        </w:trPr>
        <w:tc>
          <w:tcPr>
            <w:tcW w:w="3439" w:type="dxa"/>
            <w:tcBorders>
              <w:top w:val="nil"/>
              <w:left w:val="nil"/>
              <w:bottom w:val="nil"/>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ADNI4</w:t>
            </w:r>
          </w:p>
        </w:tc>
        <w:tc>
          <w:tcPr>
            <w:tcW w:w="2281"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151 (25.1%)</w:t>
            </w:r>
          </w:p>
        </w:tc>
        <w:tc>
          <w:tcPr>
            <w:tcW w:w="1385"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764"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123 (42.4%)</w:t>
            </w:r>
          </w:p>
        </w:tc>
        <w:tc>
          <w:tcPr>
            <w:tcW w:w="2526" w:type="dxa"/>
            <w:tcBorders>
              <w:top w:val="nil"/>
              <w:left w:val="nil"/>
              <w:bottom w:val="nil"/>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562FBE9F" w14:textId="77777777">
        <w:trPr>
          <w:jc w:val="center"/>
          <w:cantSplit/>
        </w:trPr>
        <w:tc>
          <w:tcPr>
            <w:tcW w:w="3439"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ADNIGO</w:t>
            </w:r>
          </w:p>
        </w:tc>
        <w:tc>
          <w:tcPr>
            <w:tcW w:w="2281"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385"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764"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 (0.2%)</w:t>
            </w:r>
          </w:p>
        </w:tc>
        <w:tc>
          <w:tcPr>
            <w:tcW w:w="1385"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290</w:t>
            </w:r>
          </w:p>
        </w:tc>
        <w:tc>
          <w:tcPr>
            <w:tcW w:w="1764"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 (0.0%)</w:t>
            </w:r>
          </w:p>
        </w:tc>
        <w:tc>
          <w:tcPr>
            <w:tcW w:w="2526" w:type="dxa"/>
            <w:tcBorders>
              <w:top w:val="nil"/>
              <w:left w:val="nil"/>
              <w:bottom w:val="single" w:sz="12" w:space="0" w:color="000000"/>
              <w:right w:val="nil"/>
            </w:tcBorders>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bl>
    <w:p w14:paraId="00B0BF12" w14:textId="77777777" w:rsidR="00BE1109" w:rsidRDefault="00000000">
      <w:pPr>
        <w:spacing w:before="0" w:after="0" w:line="276" w:lineRule="auto"/>
        <w:jc w:val="both"/>
      </w:pPr>
      <w:r>
        <w:rPr>
          <w:rFonts w:ascii="Times New Roman" w:hAnsi="Times New Roman" w:eastAsia="Times New Roman" w:cs="Times New Roman"/>
          <w:b w:val="0"/>
          <w:sz w:val="21"/>
        </w:rPr>
        <w:t>Notes: Candidate participants had both plasma pTau217 and PVeD data. Denominators vary across descriptive characteristics because demographic and genotype fields were not uniformly available in the candidate-pool file. Clinical diagnosis is reported descriptively and was not included as a model covariate.</w:t>
      </w:r>
    </w:p>
    <w:p w14:paraId="179EB8D5" w14:textId="77777777" w:rsidR="00BE1109" w:rsidRDefault="00000000">
      <w:pPr>
        <w:spacing w:after="0" w:before="0" w:line="276" w:lineRule="auto"/>
        <w:jc w:val="both"/>
      </w:pPr>
      <w:r>
        <w:rPr>
          <w:rFonts w:ascii="Times New Roman" w:hAnsi="Times New Roman" w:eastAsia="Times New Roman" w:cs="Times New Roman"/>
          <w:b w:val="0"/>
          <w:sz w:val="21"/>
        </w:rPr>
        <w:t>Abbreviations: ADNI, Alzheimer's Disease Neuroimaging Initiative; APOE, apolipoprotein E; CN, cognitively normal; MCI, mild cognitive impairment; pTau217, phosphorylated tau 217; PVeD, periventricular diffusivity; SD, standard deviation.</w:t>
      </w:r>
    </w:p>
    <w:p w14:paraId="3F258C10" w14:textId="77777777" w:rsidR="00BE1109" w:rsidRDefault="00000000">
      <w:pPr>
        <w:spacing w:line="360" w:lineRule="auto" w:before="0" w:after="0"/>
        <w:jc w:val="both"/>
      </w:pPr>
      <w:r>
        <w:rPr>
          <w:rFonts w:ascii="Times New Roman" w:hAnsi="Times New Roman" w:eastAsia="Times New Roman" w:cs="Times New Roman"/>
          <w:sz w:val="24"/>
        </w:rPr>
        <w:br w:type="page"/>
      </w:r>
    </w:p>
    <w:p w14:paraId="1E7B0823" w14:textId="77777777" w:rsidR="00BE1109" w:rsidRDefault="00000000">
      <w:pPr>
        <w:pageBreakBefore/>
        <w:spacing w:after="0" w:before="0" w:line="360" w:lineRule="auto"/>
        <w:jc w:val="both"/>
      </w:pPr>
      <w:r>
        <w:rPr>
          <w:rFonts w:ascii="Times New Roman" w:hAnsi="Times New Roman" w:eastAsia="Times New Roman" w:cs="Times New Roman"/>
          <w:b/>
          <w:sz w:val="24"/>
        </w:rPr>
        <w:t>Table S8. ADNI phase, acquisition protocol, and sensitivity analyses.</w:t>
      </w:r>
    </w:p>
    <w:tbl>
      <w:tblPr>
        <w:tblW w:w="14544" w:type="dxa"/>
        <w:jc w:val="center"/>
        <w:tblLayout w:type="fixed"/>
        <w:tblLook w:val="04A0" w:firstRow="1" w:lastRow="0" w:firstColumn="1" w:lastColumn="0" w:noHBand="0" w:noVBand="1"/>
        <w:tblInd w:w="0" w:type="dxa"/>
        <w:tblBorders>
          <w:top w:val="single" w:sz="8" w:color="000000"/>
          <w:left w:val="nil"/>
          <w:bottom w:val="single" w:sz="8" w:color="000000"/>
          <w:right w:val="nil"/>
          <w:insideH w:val="nil"/>
          <w:insideV w:val="nil"/>
        </w:tblBorders>
      </w:tblPr>
      <w:tblGrid>
        <w:gridCol w:w="2353"/>
        <w:gridCol w:w="2590"/>
        <w:gridCol w:w="2590"/>
        <w:gridCol w:w="685"/>
        <w:gridCol w:w="1682"/>
        <w:gridCol w:w="2185"/>
        <w:gridCol w:w="927"/>
        <w:gridCol w:w="1532"/>
      </w:tblGrid>
      <w:tr w:rsidR="00BE1109" w14:paraId="00BF5886" w14:textId="77777777">
        <w:trPr>
          <w:tblHeader/>
          <w:jc w:val="center"/>
          <w:cantSplit/>
        </w:trPr>
        <w:tc>
          <w:tcPr>
            <w:tcW w:w="2353"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Section</w:t>
            </w:r>
          </w:p>
        </w:tc>
        <w:tc>
          <w:tcPr>
            <w:tcW w:w="2590"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Item</w:t>
            </w:r>
          </w:p>
        </w:tc>
        <w:tc>
          <w:tcPr>
            <w:tcW w:w="2590"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Specification</w:t>
            </w:r>
          </w:p>
        </w:tc>
        <w:tc>
          <w:tcPr>
            <w:tcW w:w="685"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w="1682"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Value</w:t>
            </w:r>
          </w:p>
        </w:tc>
        <w:tc>
          <w:tcPr>
            <w:tcW w:w="2185"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Estimate (95% CI)</w:t>
            </w:r>
          </w:p>
        </w:tc>
        <w:tc>
          <w:tcPr>
            <w:tcW w:w="927"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w="1532" w:type="dxa"/>
            <w:tcBorders>
              <w:top w:val="single" w:sz="12" w:space="0" w:color="000000"/>
              <w:left w:val="nil"/>
              <w:bottom w:val="single" w:sz="6"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rsidR="00BE1109" w14:paraId="7A189C8D"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ADNI phase</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 summary</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 unique of 602</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275B8657"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Site ID</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 summary</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75 unique of 602</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4F9E76B9"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visit</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 summary</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 unique of 602</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58573DBE"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Availability summary</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602</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 unique of 602</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6F0B0888"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-0.096 (-0.154, -0.037)</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r>
      <w:tr w:rsidR="00BE1109" w14:paraId="1DDED913"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ADNI phase</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-0.093 (-0.151, -0.035)</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r>
      <w:tr w:rsidR="00BE1109" w14:paraId="09C13B6D"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DTI protocol</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-0.096 (-0.154, -0.038)</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0.007</w:t>
            </w:r>
          </w:p>
        </w:tc>
      </w:tr>
      <w:tr w:rsidR="00BE1109" w14:paraId="3E729351"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 PET Centiloid</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ADNI phase and DTI protocol</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589</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-0.092 (-0.149, -0.034)</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0.011</w:t>
            </w:r>
          </w:p>
        </w:tc>
      </w:tr>
      <w:tr w:rsidR="00BE1109" w14:paraId="208846B4"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-0.092 (-0.158, -0.027)</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r>
      <w:tr w:rsidR="00BE1109" w14:paraId="19D564F8"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ADNI phase</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-0.093 (-0.158, -0.028)</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r>
      <w:tr w:rsidR="00BE1109" w14:paraId="3B6FBCAB"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DTI protocol</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-0.085 (-0.150, -0.020)</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0.010</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0.015</w:t>
            </w:r>
          </w:p>
        </w:tc>
      </w:tr>
      <w:tr w:rsidR="00BE1109" w14:paraId="4E03B7C2"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meta-temporal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ADNI phase and DTI protocol</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-0.086 (-0.151, -0.021)</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0.010</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0.014</w:t>
            </w:r>
          </w:p>
        </w:tc>
      </w:tr>
      <w:tr w:rsidR="00BE1109" w14:paraId="3915A000"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Primary: age, sex, and education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-0.099 (-0.167, -0.032)</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r>
      <w:tr w:rsidR="00BE1109" w14:paraId="1938915D"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ADNI phase</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-0.099 (-0.167, -0.031)</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r>
      <w:tr w:rsidR="00BE1109" w14:paraId="5ACE4B70"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DTI protocol</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-0.090 (-0.157, -0.023)</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0.009</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0.015</w:t>
            </w:r>
          </w:p>
        </w:tc>
      </w:tr>
      <w:tr w:rsidR="00BE1109" w14:paraId="22A8533B"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Sensitivity</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 PET fusiform SUVR</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 ADNI phase and DTI protocol</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578</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-0.090 (-0.157, -0.023)</w:t>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0.008</w:t>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0.014</w:t>
            </w:r>
          </w:p>
        </w:tc>
      </w:tr>
      <w:tr w:rsidR="00BE1109" w14:paraId="7FF2125A"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313</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52.0%</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6A809A19"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HB dMRI (MS21)</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70</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11.6%</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687A9A8F"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MB DTI</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69</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11.5%</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171FD9B7"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MB dMRI PA (MSV21)</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47</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7.8%</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0622A791"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dMRI (MSV21)</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31</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5.1%</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046DD969"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 (MSV21)</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24</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4.0%</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F7ECC7B"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 - phase P to A (180 degrees)</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3.5%</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60CC91D7"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MB dMRI P&gt;&gt;A (MSV21)</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9</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39D17A6C"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 (MSV20)</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0.8%</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4E757FDF"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MB Level 2 dMRI PA (MSV21)</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0.8%</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7F773D7B"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 (MSV21) P-A phase enc.</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0.8%</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507348EA" w14:textId="77777777">
        <w:trPr>
          <w:jc w:val="center"/>
          <w:cantSplit/>
        </w:trPr>
        <w:tc>
          <w:tcPr>
            <w:tcW w:w="2353" w:type="dxa"/>
            <w:tcBorders>
              <w:top w:val="nil"/>
              <w:left w:val="nil"/>
              <w:bottom w:val="nil"/>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 straight</w:t>
            </w:r>
          </w:p>
        </w:tc>
        <w:tc>
          <w:tcPr>
            <w:tcW w:w="2590"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w:t>
            </w:r>
          </w:p>
        </w:tc>
        <w:tc>
          <w:tcPr>
            <w:tcW w:w="168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w:t>
            </w:r>
          </w:p>
        </w:tc>
        <w:tc>
          <w:tcPr>
            <w:tcW w:w="2185"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nil"/>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r w:rsidR="00BE1109" w14:paraId="0B20DB02" w14:textId="77777777">
        <w:trPr>
          <w:jc w:val="center"/>
          <w:cantSplit/>
        </w:trPr>
        <w:tc>
          <w:tcPr>
            <w:tcW w:w="2353"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Protocol distribution</w:t>
            </w:r>
          </w:p>
        </w:tc>
        <w:tc>
          <w:tcPr>
            <w:tcW w:w="2590"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Axial DTI Phase Direction P&gt;A</w:t>
            </w:r>
          </w:p>
        </w:tc>
        <w:tc>
          <w:tcPr>
            <w:tcW w:w="2590"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DTI image description</w:t>
            </w:r>
          </w:p>
        </w:tc>
        <w:tc>
          <w:tcPr>
            <w:tcW w:w="685"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w:t>
            </w:r>
          </w:p>
        </w:tc>
        <w:tc>
          <w:tcPr>
            <w:tcW w:w="1682"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w:t>
            </w:r>
          </w:p>
        </w:tc>
        <w:tc>
          <w:tcPr>
            <w:tcW w:w="2185"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927"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c>
          <w:tcPr>
            <w:tcW w:w="1532" w:type="dxa"/>
            <w:tcBorders>
              <w:top w:val="nil"/>
              <w:left w:val="nil"/>
              <w:bottom w:val="single" w:sz="12" w:space="0" w:color="000000"/>
              <w:right w:val="nil"/>
            </w:tcBorders>
            <w:vAlign w:val="center"/>
            <w:tcMar>
              <w:top w:w="20" w:type="dxa"/>
              <w:start w:w="60" w:type="dxa"/>
              <w:bottom w:w="20" w:type="dxa"/>
              <w:end w:w="60"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r>
          </w:p>
        </w:tc>
      </w:tr>
    </w:tbl>
    <w:p w14:paraId="067E8B3C" w14:textId="77777777" w:rsidR="00BE1109" w:rsidRDefault="00000000">
      <w:pPr>
        <w:spacing w:before="0" w:after="0" w:line="276" w:lineRule="auto"/>
        <w:jc w:val="both"/>
      </w:pPr>
      <w:r>
        <w:rPr>
          <w:rFonts w:ascii="Times New Roman" w:hAnsi="Times New Roman" w:eastAsia="Times New Roman" w:cs="Times New Roman"/>
          <w:b w:val="0"/>
          <w:sz w:val="21"/>
        </w:rPr>
        <w:t>Notes: This table summarizes ADNI phase and imaging-protocol availability, and provides protocol-related sensitivity estimates where applicable. P values are reported before and after false discovery rate correction.</w:t>
      </w:r>
    </w:p>
    <w:p w14:paraId="3FB0366B" w14:textId="77777777" w:rsidR="00BE1109" w:rsidRDefault="00000000">
      <w:pPr>
        <w:spacing w:after="0" w:before="0" w:line="276" w:lineRule="auto"/>
        <w:jc w:val="both"/>
      </w:pPr>
      <w:r>
        <w:rPr>
          <w:rFonts w:ascii="Times New Roman" w:hAnsi="Times New Roman" w:eastAsia="Times New Roman" w:cs="Times New Roman"/>
          <w:b w:val="0"/>
          <w:sz w:val="21"/>
        </w:rPr>
        <w:t>Abbreviations: ADNI, Alzheimer's Disease Neuroimaging Initiative; DTI, diffusion tensor imaging; FDR, false discovery rate; QA, quality assurance.</w:t>
      </w:r>
    </w:p>
    <w:p>
      <w:pPr>
        <w:pageBreakBefore/>
        <w:spacing w:before="0" w:after="0" w:line="360" w:lineRule="auto"/>
        <w:jc w:val="both"/>
      </w:pPr>
      <w:r>
        <w:rPr>
          <w:rFonts w:ascii="Times New Roman" w:hAnsi="Times New Roman" w:eastAsia="Times New Roman"/>
          <w:b/>
          <w:sz w:val="24"/>
        </w:rPr>
        <w:t>Table S9. Selected baseline characteristics of the HABS-HD validation cohort according to plasma pTau217–PVeD profiles.</w:t>
      </w:r>
    </w:p>
    <w:tbl>
      <w:tblPr>
        <w:tblW w:type="dxa" w:w="14544"/>
        <w:tblLayout w:type="fixed"/>
        <w:tblLook w:firstColumn="1" w:firstRow="1" w:lastColumn="0" w:lastRow="0" w:noHBand="0" w:noVBand="1" w:val="04A0"/>
        <w:tblInd w:w="0" w:type="dxa"/>
        <w:tblBorders>
          <w:top w:val="single" w:sz="8" w:color="000000"/>
          <w:left w:val="nil"/>
          <w:bottom w:val="single" w:sz="8" w:color="000000"/>
          <w:right w:val="nil"/>
          <w:insideH w:val="nil"/>
          <w:insideV w:val="nil"/>
        </w:tblBorders>
      </w:tblPr>
      <w:tblGrid>
        <w:gridCol w:w="3613"/>
        <w:gridCol w:w="2732"/>
        <w:gridCol w:w="2732"/>
        <w:gridCol w:w="2732"/>
        <w:gridCol w:w="2735"/>
      </w:tblGrid>
      <w:tr>
        <w:trPr>
          <w:tblHeader/>
          <w:cantSplit/>
        </w:trPr>
        <w:tc>
          <w:tcPr>
            <w:tcW w:type="dxa" w:w="3613"/>
            <w:vAlign w:val="center"/>
            <w:tcMar>
              <w:top w:w="45" w:type="dxa"/>
              <w:start w:w="55" w:type="dxa"/>
              <w:bottom w:w="45" w:type="dxa"/>
              <w:end w:w="55" w:type="dxa"/>
            </w:tcMar>
            <w:tcBorders>
              <w:bottom w:val="single" w:sz="6" w:color="000000"/>
            </w:tcBorders>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Variable</w:t>
            </w:r>
          </w:p>
        </w:tc>
        <w:tc>
          <w:tcPr>
            <w:tcW w:type="dxa" w:w="2732"/>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pTau217− / PVeD+</w:t>
              <w:br/>
              <w:t>(N=647)</w:t>
            </w:r>
          </w:p>
        </w:tc>
        <w:tc>
          <w:tcPr>
            <w:tcW w:type="dxa" w:w="2732"/>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pTau217− / PVeD−</w:t>
              <w:br/>
              <w:t>(N=509)</w:t>
            </w:r>
          </w:p>
        </w:tc>
        <w:tc>
          <w:tcPr>
            <w:tcW w:type="dxa" w:w="2732"/>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pTau217+ / PVeD+</w:t>
              <w:br/>
              <w:t>(N=510)</w:t>
            </w:r>
          </w:p>
        </w:tc>
        <w:tc>
          <w:tcPr>
            <w:tcW w:type="dxa" w:w="2735"/>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pTau217+ / PVeD−</w:t>
              <w:br/>
              <w:t>(N=647)</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Age, years</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61.298 (7.022)</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65.024 (7.966)</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65.714 (8.212)</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70.339 (8.611)</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Education, years</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12.249 (4.364)</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13.401 (4.432)</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12.990 (4.310)</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13.584 (4.517)</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Plasma pTau217</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0.220 (0.049)</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0.224 (0.052)</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0.555 (0.357)</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0.714 (0.714)</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PVeD total</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0.497 (0.017)</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0.444 (0.028)</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0.494 (0.017)</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0.435 (0.031)</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5.966 (9.360)</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5.123 (9.257)</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21.019 (28.619)</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29.868 (36.189)</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weighted tau SUVR</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1.124 (0.087)</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1.131 (0.085)</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1.202 (0.194)</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1.237 (0.247)</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GFAP</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293.972 (137.447)</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312.048 (135.239)</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435.418 (223.558)</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501.978 (288.415)</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NfL</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13.552 (7.125)</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14.712 (9.396)</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22.065 (24.335)</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25.075 (18.577)</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sz w:val="24"/>
              </w:rPr>
              <w:t>Female sex, n (%)</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164 (25.3%)</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242 (47.5%)</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147 (28.8%)</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330 (51.0%)</w:t>
            </w:r>
          </w:p>
        </w:tc>
      </w:tr>
      <w:tr>
        <w:trPr>
          <w:cantSplit/>
        </w:trPr>
        <w:tc>
          <w:tcPr>
            <w:tcW w:type="dxa" w:w="3613"/>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sz w:val="24"/>
              </w:rPr>
              <w:t>APOE ε4 carrier, n/N (%)</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138/643 (21.5%)</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100/507 (19.7%)</w:t>
            </w:r>
          </w:p>
        </w:tc>
        <w:tc>
          <w:tcPr>
            <w:tcW w:type="dxa" w:w="273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162/504 (32.1%)</w:t>
            </w:r>
          </w:p>
        </w:tc>
        <w:tc>
          <w:tcPr>
            <w:tcW w:type="dxa" w:w="273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sz w:val="24"/>
              </w:rPr>
              <w:t>249/638 (39.0%)</w:t>
            </w:r>
          </w:p>
        </w:tc>
      </w:tr>
      <w:tr>
        <w:trPr>
          <w:cantSplit/>
        </w:trPr>
        <w:tc>
          <w:tcPr>
            <w:tcW w:type="dxa" w:w="3613"/>
            <w:vAlign w:val="center"/>
            <w:tcMar>
              <w:top w:w="45" w:type="dxa"/>
              <w:start w:w="55" w:type="dxa"/>
              <w:bottom w:w="45" w:type="dxa"/>
              <w:end w:w="55" w:type="dxa"/>
            </w:tcMar>
            <w:tcBorders>
              <w:bottom w:val="single" w:sz="12" w:space="0" w:color="000000"/>
            </w:tcBorders>
          </w:tcPr>
          <w:p>
            <w:pPr>
              <w:spacing w:before="0" w:after="0" w:line="360" w:lineRule="auto"/>
              <w:jc w:val="left"/>
            </w:pPr>
            <w:r>
              <w:rPr>
                <w:rFonts w:ascii="Times New Roman" w:hAnsi="Times New Roman" w:eastAsia="Times New Roman"/>
                <w:sz w:val="24"/>
              </w:rPr>
              <w:t>MCI or dementia, n (%)</w:t>
            </w:r>
          </w:p>
        </w:tc>
        <w:tc>
          <w:tcPr>
            <w:tcW w:type="dxa" w:w="2732"/>
            <w:vAlign w:val="center"/>
            <w:tcMar>
              <w:top w:w="45" w:type="dxa"/>
              <w:start w:w="55" w:type="dxa"/>
              <w:bottom w:w="45" w:type="dxa"/>
              <w:end w:w="55" w:type="dxa"/>
            </w:tcMar>
            <w:tcBorders>
              <w:bottom w:val="single" w:sz="12" w:space="0" w:color="000000"/>
            </w:tcBorders>
          </w:tcPr>
          <w:p>
            <w:pPr>
              <w:spacing w:before="0" w:after="0" w:line="360" w:lineRule="auto"/>
              <w:jc w:val="center"/>
            </w:pPr>
            <w:r>
              <w:rPr>
                <w:rFonts w:ascii="Times New Roman" w:hAnsi="Times New Roman" w:eastAsia="Times New Roman"/>
                <w:sz w:val="24"/>
              </w:rPr>
              <w:t>134 (20.7%)</w:t>
            </w:r>
          </w:p>
        </w:tc>
        <w:tc>
          <w:tcPr>
            <w:tcW w:type="dxa" w:w="2732"/>
            <w:vAlign w:val="center"/>
            <w:tcMar>
              <w:top w:w="45" w:type="dxa"/>
              <w:start w:w="55" w:type="dxa"/>
              <w:bottom w:w="45" w:type="dxa"/>
              <w:end w:w="55" w:type="dxa"/>
            </w:tcMar>
            <w:tcBorders>
              <w:bottom w:val="single" w:sz="12" w:space="0" w:color="000000"/>
            </w:tcBorders>
          </w:tcPr>
          <w:p>
            <w:pPr>
              <w:spacing w:before="0" w:after="0" w:line="360" w:lineRule="auto"/>
              <w:jc w:val="center"/>
            </w:pPr>
            <w:r>
              <w:rPr>
                <w:rFonts w:ascii="Times New Roman" w:hAnsi="Times New Roman" w:eastAsia="Times New Roman"/>
                <w:sz w:val="24"/>
              </w:rPr>
              <w:t>121 (23.8%)</w:t>
            </w:r>
          </w:p>
        </w:tc>
        <w:tc>
          <w:tcPr>
            <w:tcW w:type="dxa" w:w="2732"/>
            <w:vAlign w:val="center"/>
            <w:tcMar>
              <w:top w:w="45" w:type="dxa"/>
              <w:start w:w="55" w:type="dxa"/>
              <w:bottom w:w="45" w:type="dxa"/>
              <w:end w:w="55" w:type="dxa"/>
            </w:tcMar>
            <w:tcBorders>
              <w:bottom w:val="single" w:sz="12" w:space="0" w:color="000000"/>
            </w:tcBorders>
          </w:tcPr>
          <w:p>
            <w:pPr>
              <w:spacing w:before="0" w:after="0" w:line="360" w:lineRule="auto"/>
              <w:jc w:val="center"/>
            </w:pPr>
            <w:r>
              <w:rPr>
                <w:rFonts w:ascii="Times New Roman" w:hAnsi="Times New Roman" w:eastAsia="Times New Roman"/>
                <w:sz w:val="24"/>
              </w:rPr>
              <w:t>126 (24.7%)</w:t>
            </w:r>
          </w:p>
        </w:tc>
        <w:tc>
          <w:tcPr>
            <w:tcW w:type="dxa" w:w="2735"/>
            <w:vAlign w:val="center"/>
            <w:tcMar>
              <w:top w:w="45" w:type="dxa"/>
              <w:start w:w="55" w:type="dxa"/>
              <w:bottom w:w="45" w:type="dxa"/>
              <w:end w:w="55" w:type="dxa"/>
            </w:tcMar>
            <w:tcBorders>
              <w:bottom w:val="single" w:sz="12" w:space="0" w:color="000000"/>
            </w:tcBorders>
          </w:tcPr>
          <w:p>
            <w:pPr>
              <w:spacing w:before="0" w:after="0" w:line="360" w:lineRule="auto"/>
              <w:jc w:val="center"/>
            </w:pPr>
            <w:r>
              <w:rPr>
                <w:rFonts w:ascii="Times New Roman" w:hAnsi="Times New Roman" w:eastAsia="Times New Roman"/>
                <w:sz w:val="24"/>
              </w:rPr>
              <w:t>212 (32.8%)</w:t>
            </w:r>
          </w:p>
        </w:tc>
      </w:tr>
    </w:tbl>
    <w:p>
      <w:pPr>
        <w:spacing w:before="0" w:after="0" w:line="276" w:lineRule="auto"/>
        <w:jc w:val="both"/>
      </w:pPr>
      <w:r>
        <w:rPr>
          <w:rFonts w:ascii="Times New Roman" w:hAnsi="Times New Roman" w:eastAsia="Times New Roman"/>
          <w:sz w:val="21"/>
        </w:rPr>
        <w:t>Notes: Continuous variables are presented as mean (SD), and categorical variables as n (%). Profiles were defined using cohort-specific medians of plasma pTau217 and PVeD. APOE ε4 carrier percentages use available APOE data (n=643, 507, 504, and 638, respectively). Cognitive status is reported descriptively and was not included as a model covariate.</w:t>
      </w:r>
    </w:p>
    <w:p>
      <w:pPr>
        <w:spacing w:before="0" w:after="0" w:line="276" w:lineRule="auto"/>
        <w:jc w:val="both"/>
      </w:pPr>
      <w:r>
        <w:rPr>
          <w:rFonts w:ascii="Times New Roman" w:hAnsi="Times New Roman" w:eastAsia="Times New Roman"/>
          <w:sz w:val="21"/>
        </w:rPr>
        <w:t>Abbreviations: APOE, apolipoprotein E; FBB, florbetaben; GFAP, glial fibrillary acidic protein; HABS-HD, Health and Aging Brain Study–Health Disparities; MCI, mild cognitive impairment; MsTL, mesial temporal lobe; NfL, neurofilament light chain; pTau217, phosphorylated tau 217; PVeD, periventricular diffusivity; SD, standard deviation; SUVR, standardized uptake value ratio.</w:t>
      </w:r>
    </w:p>
    <w:p>
      <w:pPr>
        <w:pageBreakBefore/>
        <w:spacing w:before="0" w:after="0" w:line="360" w:lineRule="auto"/>
        <w:jc w:val="both"/>
      </w:pPr>
      <w:r>
        <w:rPr>
          <w:rFonts w:ascii="Times New Roman" w:hAnsi="Times New Roman" w:eastAsia="Times New Roman" w:cs="Times New Roman"/>
          <w:b/>
          <w:sz w:val="24"/>
        </w:rPr>
        <w:t>Table S10. Primary pTau217 × PVeD interaction analyses for amyloid and tau PET outcomes in HABS-HD.</w:t>
      </w:r>
    </w:p>
    <w:tbl>
      <w:tblPr>
        <w:tblW w:type="dxa" w:w="14544"/>
        <w:tblLayout w:type="fixed"/>
        <w:tblLook w:firstColumn="1" w:firstRow="1" w:lastColumn="0" w:lastRow="0" w:noHBand="0" w:noVBand="1" w:val="04A0"/>
        <w:tblInd w:w="0" w:type="dxa"/>
        <w:tblBorders>
          <w:top w:val="single" w:sz="8" w:color="000000"/>
          <w:left w:val="nil"/>
          <w:bottom w:val="single" w:sz="8" w:color="000000"/>
          <w:right w:val="nil"/>
          <w:insideH w:val="nil"/>
          <w:insideV w:val="nil"/>
        </w:tblBorders>
      </w:tblPr>
      <w:tblGrid>
        <w:gridCol w:w="2305"/>
        <w:gridCol w:w="1283"/>
        <w:gridCol w:w="3584"/>
        <w:gridCol w:w="948"/>
        <w:gridCol w:w="3023"/>
        <w:gridCol w:w="1283"/>
        <w:gridCol w:w="2118"/>
      </w:tblGrid>
      <w:tr>
        <w:trPr>
          <w:tblHeader/>
          <w:cantSplit/>
        </w:trPr>
        <w:tc>
          <w:tcPr>
            <w:tcW w:type="dxa" w:w="2305"/>
            <w:vAlign w:val="center"/>
            <w:tcMar>
              <w:top w:w="45" w:type="dxa"/>
              <w:start w:w="55" w:type="dxa"/>
              <w:bottom w:w="45" w:type="dxa"/>
              <w:end w:w="55" w:type="dxa"/>
            </w:tcMar>
            <w:tcBorders>
              <w:bottom w:val="single" w:sz="6" w:color="000000"/>
            </w:tcBorders>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Analysis set</w:t>
            </w:r>
          </w:p>
        </w:tc>
        <w:tc>
          <w:tcPr>
            <w:tcW w:type="dxa" w:w="1283"/>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Domain</w:t>
            </w:r>
          </w:p>
        </w:tc>
        <w:tc>
          <w:tcPr>
            <w:tcW w:type="dxa" w:w="3584"/>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type="dxa" w:w="948"/>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type="dxa" w:w="3023"/>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Interaction β (95% CI)</w:t>
            </w:r>
          </w:p>
        </w:tc>
        <w:tc>
          <w:tcPr>
            <w:tcW w:type="dxa" w:w="1283"/>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type="dxa" w:w="2118"/>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1591</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-0.109 (-0.147, -0.070)</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FBB global amyloid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1591</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-0.109 (-0.147, -0.070)</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medial temporal tau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1050</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-0.051 (-0.108, 0.005)</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0.076</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0.076</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posterior cingulate tau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1065</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-0.118 (-0.174, -0.061)</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lateral parietal tau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1056</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-0.082 (-0.139, -0.026)</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0.005</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tau-stage weighted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1042</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-0.084 (-0.137, -0.031)</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0.003</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837</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-0.089 (-0.134, -0.044)</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Amyloid</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FBB global amyloid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837</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-0.089 (-0.134, -0.044)</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medial temporal tau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463</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-0.044 (-0.109, 0.021)</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0.186</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0.186</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posterior cingulate tau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469</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-0.119 (-0.184, -0.054)</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lateral parietal tau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465</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-0.076 (-0.143, -0.010)</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0.024</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0.029</w:t>
            </w:r>
          </w:p>
        </w:tc>
      </w:tr>
      <w:tr>
        <w:trPr>
          <w:cantSplit/>
        </w:trPr>
        <w:tc>
          <w:tcPr>
            <w:tcW w:type="dxa" w:w="230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Tau</w:t>
            </w:r>
          </w:p>
        </w:tc>
        <w:tc>
          <w:tcPr>
            <w:tcW w:type="dxa" w:w="358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tau-stage weighted SUVR</w:t>
            </w:r>
          </w:p>
        </w:tc>
        <w:tc>
          <w:tcPr>
            <w:tcW w:type="dxa" w:w="94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464</w:t>
            </w:r>
          </w:p>
        </w:tc>
        <w:tc>
          <w:tcPr>
            <w:tcW w:type="dxa" w:w="302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-0.075 (-0.137, -0.013)</w:t>
            </w:r>
          </w:p>
        </w:tc>
        <w:tc>
          <w:tcPr>
            <w:tcW w:type="dxa" w:w="128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0.018</w:t>
            </w:r>
          </w:p>
        </w:tc>
        <w:tc>
          <w:tcPr>
            <w:tcW w:type="dxa" w:w="211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0.027</w:t>
            </w:r>
          </w:p>
        </w:tc>
      </w:tr>
    </w:tbl>
    <w:p>
      <w:pPr>
        <w:spacing w:before="0" w:after="0" w:line="276" w:lineRule="auto"/>
        <w:jc w:val="both"/>
      </w:pPr>
      <w:r>
        <w:rPr>
          <w:rFonts w:ascii="Times New Roman" w:hAnsi="Times New Roman" w:eastAsia="Times New Roman" w:cs="Times New Roman"/>
          <w:b w:val="0"/>
          <w:sz w:val="21"/>
        </w:rPr>
        <w:t>Notes: Interaction estimates were obtained from standardized cross-sectional models adjusted for age, sex, and APOE ε4 status. The all-available sample was primary; temporal-alignment analyses required plasma, PET, and PVeD measurements within ±24 months. Clinical diagnosis was not included as a covariate.</w:t>
      </w:r>
    </w:p>
    <w:p>
      <w:pPr>
        <w:spacing w:before="0" w:after="0" w:line="276" w:lineRule="auto"/>
        <w:jc w:val="both"/>
      </w:pPr>
      <w:r>
        <w:rPr>
          <w:rFonts w:ascii="Times New Roman" w:hAnsi="Times New Roman" w:eastAsia="Times New Roman" w:cs="Times New Roman"/>
          <w:b w:val="0"/>
          <w:sz w:val="21"/>
        </w:rPr>
        <w:t>Abbreviations: CI, confidence interval; FBB, florbetaben; FDR, false discovery rate; MsTL, mesial temporal lobe; PET, positron emission tomography; pTau217, phosphorylated tau 217; PVeD, periventricular diffusivity; SUVR, standardized uptake value ratio.</w:t>
      </w:r>
    </w:p>
    <w:p>
      <w:pPr>
        <w:pageBreakBefore/>
        <w:spacing w:before="0" w:after="0" w:line="360" w:lineRule="auto"/>
        <w:jc w:val="both"/>
      </w:pPr>
      <w:r>
        <w:rPr>
          <w:rFonts w:ascii="Times New Roman" w:hAnsi="Times New Roman" w:eastAsia="Times New Roman" w:cs="Times New Roman"/>
          <w:b/>
          <w:sz w:val="24"/>
        </w:rPr>
        <w:t>Table S11. Specificity analyses comparing pTau217, GFAP, and NfL interactions with PVeD in HABS-HD.</w:t>
      </w:r>
    </w:p>
    <w:tbl>
      <w:tblPr>
        <w:tblW w:type="dxa" w:w="14544"/>
        <w:tblLayout w:type="fixed"/>
        <w:tblLook w:firstColumn="1" w:firstRow="1" w:lastColumn="0" w:lastRow="0" w:noHBand="0" w:noVBand="1" w:val="04A0"/>
        <w:tblInd w:w="0" w:type="dxa"/>
        <w:tblBorders>
          <w:top w:val="single" w:sz="8" w:color="000000"/>
          <w:left w:val="nil"/>
          <w:bottom w:val="single" w:sz="8" w:color="000000"/>
          <w:right w:val="nil"/>
          <w:insideH w:val="nil"/>
          <w:insideV w:val="nil"/>
        </w:tblBorders>
      </w:tblPr>
      <w:tblGrid>
        <w:gridCol w:w="3976"/>
        <w:gridCol w:w="3457"/>
        <w:gridCol w:w="915"/>
        <w:gridCol w:w="2916"/>
        <w:gridCol w:w="1238"/>
        <w:gridCol w:w="2042"/>
      </w:tblGrid>
      <w:tr>
        <w:trPr>
          <w:tblHeader/>
          <w:cantSplit/>
        </w:trPr>
        <w:tc>
          <w:tcPr>
            <w:tcW w:type="dxa" w:w="3976"/>
            <w:vAlign w:val="center"/>
            <w:tcMar>
              <w:top w:w="45" w:type="dxa"/>
              <w:start w:w="55" w:type="dxa"/>
              <w:bottom w:w="45" w:type="dxa"/>
              <w:end w:w="55" w:type="dxa"/>
            </w:tcMar>
            <w:tcBorders>
              <w:bottom w:val="single" w:sz="6" w:color="000000"/>
            </w:tcBorders>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type="dxa" w:w="3457"/>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Model term</w:t>
            </w:r>
          </w:p>
        </w:tc>
        <w:tc>
          <w:tcPr>
            <w:tcW w:type="dxa" w:w="915"/>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type="dxa" w:w="2916"/>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Estimate (95% CI)</w:t>
            </w:r>
          </w:p>
        </w:tc>
        <w:tc>
          <w:tcPr>
            <w:tcW w:type="dxa" w:w="1238"/>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type="dxa" w:w="2042"/>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837</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-0.098 (-0.147, -0.049)</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GFAP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168</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-0.096 (-0.256, 0.065)</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0.244</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0.244</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NfL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109</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-0.174 (-0.480, 0.132)</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0.265</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0.265</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amyloid Centiloid</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 + GFAP/NfL main effects</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102</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-0.012 (-0.273, 0.249)</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0.929</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0.929</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global amyloid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837</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-0.098 (-0.147, -0.049)</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global amyloid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GFAP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168</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-0.096 (-0.256, 0.065)</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0.244</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0.244</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global amyloid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NfL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109</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-0.174 (-0.480, 0.132)</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0.265</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0.265</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FBB global amyloid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 + GFAP/NfL main effects</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102</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-0.012 (-0.273, 0.249)</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0.929</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0.929</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posterior cingulate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469</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-0.135 (-0.208, -0.061)</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posterior cingulate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GFAP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108</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-0.471 (-0.721, -0.222)</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posterior cingulate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NfL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67</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-0.345 (-0.636, -0.054)</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0.102</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posterior cingulate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 + GFAP/NfL main effects</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63</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-0.069 (-0.392, 0.254)</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0.676</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0.929</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lateral parietal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465</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-0.087 (-0.162, -0.011)</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0.024</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0.024</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lateral parietal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GFAP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108</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-0.433 (-0.674, -0.193)</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0.001</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lateral parietal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NfL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67</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-0.202 (-0.483, 0.078)</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0.157</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0.265</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lateral parietal tau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 + GFAP/NfL main effects</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63</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0.014 (-0.279, 0.308)</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0.924</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0.929</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tau-stage weighted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464</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-0.085 (-0.155, -0.015)</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0.018</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0.022</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tau-stage weighted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GFAP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107</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-0.326 (-0.532, -0.120)</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0.003</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tau-stage weighted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NfL × PVeD</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66</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-0.122 (-0.322, 0.078)</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0.233</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0.265</w:t>
            </w:r>
          </w:p>
        </w:tc>
      </w:tr>
      <w:tr>
        <w:trPr>
          <w:cantSplit/>
        </w:trPr>
        <w:tc>
          <w:tcPr>
            <w:tcW w:type="dxa" w:w="3976"/>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[¹⁸F]PI-2620 MsTL tau-stage weighted SUVR</w:t>
            </w:r>
          </w:p>
        </w:tc>
        <w:tc>
          <w:tcPr>
            <w:tcW w:type="dxa" w:w="345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pTau217 × PVeD + GFAP/NfL main effects</w:t>
            </w:r>
          </w:p>
        </w:tc>
        <w:tc>
          <w:tcPr>
            <w:tcW w:type="dxa" w:w="915"/>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62</w:t>
            </w:r>
          </w:p>
        </w:tc>
        <w:tc>
          <w:tcPr>
            <w:tcW w:type="dxa" w:w="2916"/>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0.166 (-0.024, 0.356)</w:t>
            </w:r>
          </w:p>
        </w:tc>
        <w:tc>
          <w:tcPr>
            <w:tcW w:type="dxa" w:w="123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0.087</w:t>
            </w:r>
          </w:p>
        </w:tc>
        <w:tc>
          <w:tcPr>
            <w:tcW w:type="dxa" w:w="2042"/>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0.433</w:t>
            </w:r>
          </w:p>
        </w:tc>
      </w:tr>
    </w:tbl>
    <w:p>
      <w:pPr>
        <w:spacing w:before="0" w:after="0" w:line="276" w:lineRule="auto"/>
        <w:jc w:val="both"/>
      </w:pPr>
      <w:r>
        <w:rPr>
          <w:rFonts w:ascii="Times New Roman" w:hAnsi="Times New Roman" w:eastAsia="Times New Roman" w:cs="Times New Roman"/>
          <w:b w:val="0"/>
          <w:sz w:val="21"/>
        </w:rPr>
        <w:t>Notes: Models compare the pTau217 × PVeD interaction with GFAP × PVeD and NfL × PVeD terms and with pTau217 × PVeD models additionally containing GFAP and NfL main effects. Reduced biomarker overlap produced smaller samples; these analyses are supportive and do not establish strict biomarker specificity. Clinical diagnosis was not included as a covariate.</w:t>
      </w:r>
    </w:p>
    <w:p>
      <w:pPr>
        <w:spacing w:before="0" w:after="0" w:line="276" w:lineRule="auto"/>
        <w:jc w:val="both"/>
      </w:pPr>
      <w:r>
        <w:rPr>
          <w:rFonts w:ascii="Times New Roman" w:hAnsi="Times New Roman" w:eastAsia="Times New Roman" w:cs="Times New Roman"/>
          <w:b w:val="0"/>
          <w:sz w:val="21"/>
        </w:rPr>
        <w:t>Abbreviations: CI, confidence interval; FBB, florbetaben; FDR, false discovery rate; GFAP, glial fibrillary acidic protein; MsTL, mesial temporal lobe; NfL, neurofilament light chain; PET, positron emission tomography; pTau217, phosphorylated tau 217; PVeD, periventricular diffusivity; SUVR, standardized uptake value ratio.</w:t>
      </w:r>
    </w:p>
    <w:p>
      <w:pPr>
        <w:pageBreakBefore/>
        <w:spacing w:before="0" w:after="0" w:line="360" w:lineRule="auto"/>
        <w:jc w:val="both"/>
      </w:pPr>
      <w:r>
        <w:rPr>
          <w:rFonts w:ascii="Times New Roman" w:hAnsi="Times New Roman" w:eastAsia="Times New Roman" w:cs="Times New Roman"/>
          <w:b/>
          <w:sz w:val="24"/>
        </w:rPr>
        <w:t>Table S12. PACC interaction models in HABS-HD.</w:t>
      </w:r>
    </w:p>
    <w:tbl>
      <w:tblPr>
        <w:tblW w:type="dxa" w:w="14544"/>
        <w:tblLayout w:type="fixed"/>
        <w:tblLook w:firstColumn="1" w:firstRow="1" w:lastColumn="0" w:lastRow="0" w:noHBand="0" w:noVBand="1" w:val="04A0"/>
        <w:tblInd w:w="0" w:type="dxa"/>
        <w:tblBorders>
          <w:top w:val="single" w:sz="8" w:color="000000"/>
          <w:left w:val="nil"/>
          <w:bottom w:val="single" w:sz="8" w:color="000000"/>
          <w:right w:val="nil"/>
          <w:insideH w:val="nil"/>
          <w:insideV w:val="nil"/>
        </w:tblBorders>
      </w:tblPr>
      <w:tblGrid>
        <w:gridCol w:w="2365"/>
        <w:gridCol w:w="3678"/>
        <w:gridCol w:w="973"/>
        <w:gridCol w:w="3004"/>
        <w:gridCol w:w="1034"/>
        <w:gridCol w:w="1317"/>
        <w:gridCol w:w="2173"/>
      </w:tblGrid>
      <w:tr>
        <w:trPr>
          <w:tblHeader/>
          <w:cantSplit/>
        </w:trPr>
        <w:tc>
          <w:tcPr>
            <w:tcW w:type="dxa" w:w="2365"/>
            <w:vAlign w:val="center"/>
            <w:tcMar>
              <w:top w:w="45" w:type="dxa"/>
              <w:start w:w="55" w:type="dxa"/>
              <w:bottom w:w="45" w:type="dxa"/>
              <w:end w:w="55" w:type="dxa"/>
            </w:tcMar>
            <w:tcBorders>
              <w:bottom w:val="single" w:sz="6" w:color="000000"/>
            </w:tcBorders>
          </w:tcPr>
          <w:p>
            <w:pPr>
              <w:spacing w:before="0" w:after="0" w:line="360" w:lineRule="auto"/>
              <w:jc w:val="left"/>
            </w:pPr>
            <w:r>
              <w:rPr>
                <w:rFonts w:ascii="Times New Roman" w:hAnsi="Times New Roman" w:eastAsia="Times New Roman" w:cs="Times New Roman"/>
                <w:b/>
                <w:sz w:val="24"/>
              </w:rPr>
            </w:r>
            <w:r>
              <w:rPr>
                <w:rFonts w:ascii="Times New Roman" w:hAnsi="Times New Roman" w:eastAsia="Times New Roman" w:cs="Times New Roman"/>
                <w:b/>
                <w:sz w:val="24"/>
              </w:rPr>
              <w:t>Analysis set</w:t>
            </w:r>
          </w:p>
        </w:tc>
        <w:tc>
          <w:tcPr>
            <w:tcW w:type="dxa" w:w="3678"/>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Outcome</w:t>
            </w:r>
          </w:p>
        </w:tc>
        <w:tc>
          <w:tcPr>
            <w:tcW w:type="dxa" w:w="973"/>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N</w:t>
            </w:r>
          </w:p>
        </w:tc>
        <w:tc>
          <w:tcPr>
            <w:tcW w:type="dxa" w:w="3004"/>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Interaction β (95% CI)</w:t>
            </w:r>
          </w:p>
        </w:tc>
        <w:tc>
          <w:tcPr>
            <w:tcW w:type="dxa" w:w="1034"/>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SE</w:t>
            </w:r>
          </w:p>
        </w:tc>
        <w:tc>
          <w:tcPr>
            <w:tcW w:type="dxa" w:w="1317"/>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P value</w:t>
            </w:r>
          </w:p>
        </w:tc>
        <w:tc>
          <w:tcPr>
            <w:tcW w:type="dxa" w:w="2173"/>
            <w:vAlign w:val="center"/>
            <w:tcMar>
              <w:top w:w="45" w:type="dxa"/>
              <w:start w:w="55" w:type="dxa"/>
              <w:bottom w:w="45" w:type="dxa"/>
              <w:end w:w="55" w:type="dxa"/>
            </w:tcMar>
            <w:tcBorders>
              <w:bottom w:val="single" w:sz="6" w:color="000000"/>
            </w:tcBorders>
          </w:tcPr>
          <w:p>
            <w:pPr>
              <w:spacing w:before="0" w:after="0" w:line="360" w:lineRule="auto"/>
              <w:jc w:val="center"/>
            </w:pPr>
            <w:r>
              <w:rPr>
                <w:rFonts w:ascii="Times New Roman" w:hAnsi="Times New Roman" w:eastAsia="Times New Roman" w:cs="Times New Roman"/>
                <w:b/>
                <w:sz w:val="24"/>
              </w:rPr>
            </w:r>
            <w:r>
              <w:rPr>
                <w:rFonts w:ascii="Times New Roman" w:hAnsi="Times New Roman" w:eastAsia="Times New Roman" w:cs="Times New Roman"/>
                <w:b/>
                <w:sz w:val="24"/>
              </w:rPr>
              <w:t>FDR-adjusted P</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t>Primary PACC, ≥3/4 components</w:t>
            </w:r>
            <w:r>
              <w:rPr>
                <w:rFonts w:ascii="Times New Roman" w:hAnsi="Times New Roman" w:eastAsia="Times New Roman" w:cs="Times New Roman"/>
                <w:b w:val="0"/>
                <w:sz w:val="24"/>
              </w:rPr>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2289</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0.092 (0.055 to 0.128)</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t>Primary PACC, ≥3/4 components</w:t>
            </w:r>
            <w:r>
              <w:rPr>
                <w:rFonts w:ascii="Times New Roman" w:hAnsi="Times New Roman" w:eastAsia="Times New Roman" w:cs="Times New Roman"/>
                <w:b w:val="0"/>
                <w:sz w:val="24"/>
              </w:rPr>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2194</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0.090 (0.053 to 0.127)</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t>Strict PACC, 4/4 components</w:t>
            </w:r>
            <w:r>
              <w:rPr>
                <w:rFonts w:ascii="Times New Roman" w:hAnsi="Times New Roman" w:eastAsia="Times New Roman" w:cs="Times New Roman"/>
                <w:b w:val="0"/>
                <w:sz w:val="24"/>
              </w:rPr>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2236</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0.086 (0.049 to 0.124)</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t>Strict PACC, 4/4 components</w:t>
            </w:r>
            <w:r>
              <w:rPr>
                <w:rFonts w:ascii="Times New Roman" w:hAnsi="Times New Roman" w:eastAsia="Times New Roman" w:cs="Times New Roman"/>
                <w:b w:val="0"/>
                <w:sz w:val="24"/>
              </w:rPr>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2142</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0.085 (0.047 to 0.123)</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Trails B sensitivity, ≥3/4 components</w:t>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2275</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0.059 (0.023 to 0.096)</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Trails B sensitivity, ≥3/4 components</w:t>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2180</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0.056 (0.018 to 0.094)</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0.004</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All available</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Neuropsych-only sensitivity, ≥3/4 components</w:t>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2275</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0.064 (0.028 to 0.101)</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&lt;0.001</w:t>
            </w:r>
          </w:p>
        </w:tc>
      </w:tr>
      <w:tr>
        <w:trPr>
          <w:cantSplit/>
        </w:trPr>
        <w:tc>
          <w:tcPr>
            <w:tcW w:type="dxa" w:w="2365"/>
            <w:vAlign w:val="center"/>
            <w:tcMar>
              <w:top w:w="45" w:type="dxa"/>
              <w:start w:w="55" w:type="dxa"/>
              <w:bottom w:w="45" w:type="dxa"/>
              <w:end w:w="55" w:type="dxa"/>
            </w:tcMar>
          </w:tcPr>
          <w:p>
            <w:pPr>
              <w:spacing w:before="0" w:after="0" w:line="360" w:lineRule="auto"/>
              <w:jc w:val="left"/>
            </w:pPr>
            <w:r>
              <w:rPr>
                <w:rFonts w:ascii="Times New Roman" w:hAnsi="Times New Roman" w:eastAsia="Times New Roman" w:cs="Times New Roman"/>
                <w:b w:val="0"/>
                <w:sz w:val="24"/>
              </w:rPr>
            </w:r>
            <w:r>
              <w:rPr>
                <w:rFonts w:ascii="Times New Roman" w:hAnsi="Times New Roman" w:eastAsia="Times New Roman" w:cs="Times New Roman"/>
                <w:b w:val="0"/>
                <w:sz w:val="24"/>
              </w:rPr>
              <w:t>±24 months</w:t>
            </w:r>
          </w:p>
        </w:tc>
        <w:tc>
          <w:tcPr>
            <w:tcW w:type="dxa" w:w="3678"/>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Neuropsych-only sensitivity, ≥3/4 components</w:t>
            </w:r>
          </w:p>
        </w:tc>
        <w:tc>
          <w:tcPr>
            <w:tcW w:type="dxa" w:w="9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2180</w:t>
            </w:r>
          </w:p>
        </w:tc>
        <w:tc>
          <w:tcPr>
            <w:tcW w:type="dxa" w:w="300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0.059 (0.021 to 0.096)</w:t>
            </w:r>
          </w:p>
        </w:tc>
        <w:tc>
          <w:tcPr>
            <w:tcW w:type="dxa" w:w="1034"/>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0.019</w:t>
            </w:r>
          </w:p>
        </w:tc>
        <w:tc>
          <w:tcPr>
            <w:tcW w:type="dxa" w:w="1317"/>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0.002</w:t>
            </w:r>
          </w:p>
        </w:tc>
        <w:tc>
          <w:tcPr>
            <w:tcW w:type="dxa" w:w="2173"/>
            <w:vAlign w:val="center"/>
            <w:tcMar>
              <w:top w:w="45" w:type="dxa"/>
              <w:start w:w="55" w:type="dxa"/>
              <w:bottom w:w="45" w:type="dxa"/>
              <w:end w:w="55" w:type="dxa"/>
            </w:tcMar>
          </w:tcPr>
          <w:p>
            <w:pPr>
              <w:spacing w:before="0" w:after="0" w:line="360" w:lineRule="auto"/>
              <w:jc w:val="center"/>
            </w:pPr>
            <w:r>
              <w:rPr>
                <w:rFonts w:ascii="Times New Roman" w:hAnsi="Times New Roman" w:eastAsia="Times New Roman" w:cs="Times New Roman"/>
                <w:b w:val="0"/>
                <w:sz w:val="24"/>
              </w:rPr>
            </w:r>
            <w:r>
              <w:rPr>
                <w:rFonts w:ascii="Times New Roman" w:hAnsi="Times New Roman" w:eastAsia="Times New Roman" w:cs="Times New Roman"/>
                <w:b w:val="0"/>
                <w:sz w:val="24"/>
              </w:rPr>
              <w:t>0.003</w:t>
            </w:r>
          </w:p>
        </w:tc>
      </w:tr>
    </w:tbl>
    <w:p>
      <w:pPr>
        <w:spacing w:before="0" w:after="0" w:line="276" w:lineRule="auto"/>
        <w:jc w:val="both"/>
      </w:pPr>
      <w:r>
        <w:rPr>
          <w:rFonts w:ascii="Times New Roman" w:hAnsi="Times New Roman" w:eastAsia="Times New Roman" w:cs="Times New Roman"/>
          <w:b w:val="0"/>
          <w:sz w:val="21"/>
        </w:rPr>
        <w:t>Notes: Interaction β values represent the standardized pTau217 × PVeD term. The primary PACC outcome required at least three of four available components; the strict definition required all four. Temporal-alignment analyses used a ±24-month window. Models adjusted for age, sex, and APOE ε4 status. Clinical diagnosis was not included as a covariate.</w:t>
      </w:r>
    </w:p>
    <w:p>
      <w:pPr>
        <w:spacing w:before="0" w:after="0" w:line="276" w:lineRule="auto"/>
        <w:jc w:val="both"/>
      </w:pPr>
      <w:r>
        <w:rPr>
          <w:rFonts w:ascii="Times New Roman" w:hAnsi="Times New Roman" w:eastAsia="Times New Roman" w:cs="Times New Roman"/>
          <w:b w:val="0"/>
          <w:sz w:val="21"/>
        </w:rPr>
        <w:t>Abbreviations: CI, confidence interval; FDR, false discovery rate; HABS-HD, Harvard Aging Brain Study–Hospital Dataset; PACC, Preclinical Alzheimer Cognitive Composite; pTau217, phosphorylated tau 217; PVeD, periventricular diffusivity; SE, standard error.</w:t>
      </w:r>
    </w:p>
    <w:p>
      <w:pPr>
        <w:spacing w:line="360" w:lineRule="auto" w:before="0" w:after="0"/>
        <w:jc w:val="both"/>
        <w:sectPr>
          <w:footerReference w:type="default" r:id="rId10"/>
          <w:pgSz w:w="15840" w:h="12240" w:orient="landscape"/>
          <w:pgMar w:top="648" w:right="648" w:bottom="648" w:left="648" w:header="720" w:footer="720" w:gutter="0"/>
          <w:cols w:space="720"/>
          <w:docGrid w:linePitch="360"/>
        </w:sectPr>
      </w:pPr>
    </w:p>
    <w:p>
      <w:pPr>
        <w:keepNext/>
        <w:spacing w:line="360" w:lineRule="auto" w:before="0" w:after="0"/>
        <w:jc w:val="both"/>
      </w:pPr>
      <w:r>
        <w:rPr>
          <w:rFonts w:ascii="Times New Roman" w:hAnsi="Times New Roman" w:eastAsia="Times New Roman" w:cs="Times New Roman"/>
          <w:b/>
          <w:sz w:val="24"/>
        </w:rPr>
        <w:t>Supplementary Figure S1.</w:t>
      </w:r>
      <w:r>
        <w:rPr>
          <w:rFonts w:ascii="Times New Roman" w:hAnsi="Times New Roman" w:eastAsia="Times New Roman" w:cs="Times New Roman"/>
          <w:b w:val="0"/>
          <w:sz w:val="24"/>
        </w:rPr>
        <w:t xml:space="preserve"> Cohort profile construction and analytic sample availability in ADNI and HABS-HD.</w:t>
      </w:r>
    </w:p>
    <w:p>
      <w:pPr>
        <w:keepNext/>
        <w:spacing w:line="360" w:lineRule="auto" w:before="0" w:after="0"/>
        <w:jc w:val="both"/>
      </w:pPr>
      <w:r>
        <w:rPr>
          <w:rFonts w:ascii="Times New Roman" w:hAnsi="Times New Roman" w:eastAsia="Times New Roman" w:cs="Times New Roman"/>
          <w:sz w:val="24"/>
        </w:rPr>
        <w:drawing>
          <wp:inline xmlns:a="http://schemas.openxmlformats.org/drawingml/2006/main" xmlns:pic="http://schemas.openxmlformats.org/drawingml/2006/picture">
            <wp:extent cx="3867912" cy="5648225"/>
            <wp:docPr id="1" name="Picture 1"/>
            <wp:cNvGraphicFramePr>
              <a:graphicFrameLocks noChangeAspect="1"/>
            </wp:cNvGraphicFramePr>
            <a:graphic>
              <a:graphicData uri="http://schemas.openxmlformats.org/drawingml/2006/picture">
                <pic:pic>
                  <pic:nvPicPr>
                    <pic:cNvPr id="0" name="supplementary_figure_s1.png"/>
                    <pic:cNvPicPr/>
                  </pic:nvPicPr>
                  <pic:blipFill>
                    <a:blip r:embed="rId12"/>
                    <a:stretch>
                      <a:fillRect/>
                    </a:stretch>
                  </pic:blipFill>
                  <pic:spPr>
                    <a:xfrm>
                      <a:off x="0" y="0"/>
                      <a:ext cx="3867912" cy="5648225"/>
                    </a:xfrm>
                    <a:prstGeom prst="rect"/>
                  </pic:spPr>
                </pic:pic>
              </a:graphicData>
            </a:graphic>
          </wp:inline>
        </w:drawing>
      </w:r>
    </w:p>
    <w:p>
      <w:pPr>
        <w:spacing w:line="360" w:lineRule="auto" w:after="0" w:before="0"/>
        <w:jc w:val="both"/>
      </w:pPr>
      <w:r>
        <w:rPr>
          <w:rFonts w:ascii="Times New Roman" w:hAnsi="Times New Roman" w:eastAsia="Times New Roman" w:cs="Times New Roman"/>
          <w:sz w:val="24"/>
        </w:rPr>
        <w:t>Panels A–C show ADNI and panels D–F show HABS-HD. (A,D) Participant-level distributions of log10-transformed plasma pTau217 and total PVeD; dashed lines indicate cohort-specific medians used only for descriptive profile construction. (B,E) Numbers of participants in the low pTau217/high PVeD, low pTau217/low PVeD, high pTau217/high PVeD, and high pTau217/low PVeD profiles. (C,F) Endpoint-specific analytic sample sizes. Primary interaction analyses used continuous standardized pTau217 and PVeD rather than median-defined groups. Abbreviations: ADNI, Alzheimer's Disease Neuroimaging Initiative; HABS-HD, Health and Aging Brain Study–Health Disparities; PACC, Preclinical Alzheimer Cognitive Composite; PET, positron emission tomography; pTau217, plasma phosphorylated tau 217; PVeD, periventricular diffusivity.</w:t>
      </w:r>
    </w:p>
    <w:sectPr w:rsidR="00FC693F" w:rsidRPr="0006063C" w:rsidSect="00034616">
      <w:footerReference w:type="default" r:id="rId11"/>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sz w:val="18"/>
      </w:rPr>
      <w:fldChar w:fldCharType="begin"/>
      <w:instrText xml:space="preserve"> PAGE </w:instrText>
      <w:fldChar w:fldCharType="separate"/>
      <w:t>1</w: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Times New Roman" w:hAnsi="Times New Roman"/>
        <w:sz w:val="18"/>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jc w:val="both"/>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Times New Roman" w:hAnsi="Times New Roman"/>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Times New Roman" w:hAnsi="Times New Roman"/>
      <w:b/>
      <w:bCs/>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Times New Roman" w:hAnsi="Times New Roman"/>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